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375" w:rsidRDefault="000A79F8">
      <w:pPr>
        <w:spacing w:after="0" w:line="259" w:lineRule="auto"/>
        <w:ind w:left="0" w:firstLine="0"/>
        <w:jc w:val="right"/>
      </w:pPr>
      <w:bookmarkStart w:id="0" w:name="_GoBack"/>
      <w:bookmarkEnd w:id="0"/>
      <w:r>
        <w:rPr>
          <w:noProof/>
        </w:rPr>
        <w:drawing>
          <wp:inline distT="0" distB="0" distL="0" distR="0">
            <wp:extent cx="6712077" cy="1380490"/>
            <wp:effectExtent l="0" t="0" r="0" b="0"/>
            <wp:docPr id="173" name="Picture 1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" name="Picture 17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712077" cy="1380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 xml:space="preserve"> </w:t>
      </w:r>
    </w:p>
    <w:p w:rsidR="00357375" w:rsidRDefault="000A79F8">
      <w:pPr>
        <w:spacing w:after="10" w:line="259" w:lineRule="auto"/>
        <w:ind w:left="0" w:firstLine="0"/>
      </w:pPr>
      <w:r>
        <w:rPr>
          <w:rFonts w:ascii="Times New Roman" w:hAnsi="Times New Roman"/>
        </w:rPr>
        <w:t xml:space="preserve"> </w:t>
      </w:r>
    </w:p>
    <w:p w:rsidR="00357375" w:rsidRDefault="00357375" w:rsidP="00D67A3E">
      <w:pPr>
        <w:spacing w:after="53" w:line="259" w:lineRule="auto"/>
        <w:ind w:left="0" w:firstLine="0"/>
      </w:pPr>
    </w:p>
    <w:tbl>
      <w:tblPr>
        <w:tblStyle w:val="TableGrid"/>
        <w:tblW w:w="9082" w:type="dxa"/>
        <w:tblInd w:w="998" w:type="dxa"/>
        <w:tblCellMar>
          <w:right w:w="211" w:type="dxa"/>
        </w:tblCellMar>
        <w:tblLook w:val="04A0" w:firstRow="1" w:lastRow="0" w:firstColumn="1" w:lastColumn="0" w:noHBand="0" w:noVBand="1"/>
      </w:tblPr>
      <w:tblGrid>
        <w:gridCol w:w="2062"/>
        <w:gridCol w:w="2610"/>
        <w:gridCol w:w="1980"/>
        <w:gridCol w:w="2430"/>
      </w:tblGrid>
      <w:tr w:rsidR="00D67A3E" w:rsidTr="00FA1855">
        <w:trPr>
          <w:trHeight w:val="478"/>
        </w:trPr>
        <w:tc>
          <w:tcPr>
            <w:tcW w:w="2062" w:type="dxa"/>
            <w:tcBorders>
              <w:left w:val="nil"/>
              <w:bottom w:val="single" w:sz="6" w:space="0" w:color="000000"/>
              <w:right w:val="nil"/>
            </w:tcBorders>
          </w:tcPr>
          <w:p w:rsidR="00D67A3E" w:rsidRDefault="00D67A3E" w:rsidP="00D67A3E">
            <w:pPr>
              <w:spacing w:after="0" w:line="259" w:lineRule="auto"/>
              <w:ind w:left="8" w:firstLine="0"/>
              <w:rPr>
                <w:b/>
              </w:rPr>
            </w:pPr>
            <w:r w:rsidRPr="00D67A3E">
              <w:rPr>
                <w:b/>
              </w:rPr>
              <w:t>C</w:t>
            </w:r>
            <w:r>
              <w:rPr>
                <w:b/>
              </w:rPr>
              <w:t>lasificación:</w:t>
            </w:r>
          </w:p>
        </w:tc>
        <w:tc>
          <w:tcPr>
            <w:tcW w:w="2610" w:type="dxa"/>
            <w:tcBorders>
              <w:left w:val="nil"/>
              <w:bottom w:val="single" w:sz="6" w:space="0" w:color="000000"/>
              <w:right w:val="nil"/>
            </w:tcBorders>
          </w:tcPr>
          <w:p w:rsidR="00D67A3E" w:rsidRDefault="00DE5028" w:rsidP="00D67A3E">
            <w:pPr>
              <w:spacing w:after="0" w:line="259" w:lineRule="auto"/>
              <w:ind w:left="0" w:firstLine="0"/>
            </w:pPr>
            <w:proofErr w:type="spellStart"/>
            <w:r>
              <w:t>A</w:t>
            </w:r>
            <w:r w:rsidR="00D67A3E">
              <w:t>dministrativa</w:t>
            </w:r>
            <w:proofErr w:type="spellEnd"/>
          </w:p>
        </w:tc>
        <w:tc>
          <w:tcPr>
            <w:tcW w:w="1980" w:type="dxa"/>
            <w:tcBorders>
              <w:left w:val="nil"/>
              <w:bottom w:val="single" w:sz="6" w:space="0" w:color="000000"/>
              <w:right w:val="nil"/>
            </w:tcBorders>
          </w:tcPr>
          <w:p w:rsidR="00D67A3E" w:rsidRDefault="00DE5028" w:rsidP="00D67A3E">
            <w:pPr>
              <w:spacing w:after="0" w:line="259" w:lineRule="auto"/>
              <w:ind w:left="2" w:firstLine="0"/>
              <w:rPr>
                <w:b/>
              </w:rPr>
            </w:pPr>
            <w:proofErr w:type="spellStart"/>
            <w:r>
              <w:rPr>
                <w:b/>
              </w:rPr>
              <w:t>N</w:t>
            </w:r>
            <w:r w:rsidR="00D67A3E">
              <w:rPr>
                <w:b/>
              </w:rPr>
              <w:t>úmero</w:t>
            </w:r>
            <w:proofErr w:type="spellEnd"/>
            <w:r w:rsidR="00D67A3E">
              <w:rPr>
                <w:b/>
              </w:rPr>
              <w:t xml:space="preserve"> de </w:t>
            </w:r>
            <w:proofErr w:type="spellStart"/>
            <w:r w:rsidR="00D67A3E">
              <w:rPr>
                <w:b/>
              </w:rPr>
              <w:t>póliza</w:t>
            </w:r>
            <w:proofErr w:type="spellEnd"/>
            <w:r w:rsidR="00D67A3E">
              <w:rPr>
                <w:b/>
              </w:rPr>
              <w:t>:</w:t>
            </w:r>
          </w:p>
        </w:tc>
        <w:tc>
          <w:tcPr>
            <w:tcW w:w="2430" w:type="dxa"/>
            <w:tcBorders>
              <w:left w:val="nil"/>
              <w:bottom w:val="single" w:sz="6" w:space="0" w:color="000000"/>
              <w:right w:val="nil"/>
            </w:tcBorders>
          </w:tcPr>
          <w:p w:rsidR="00D67A3E" w:rsidRDefault="00D67A3E" w:rsidP="00D67A3E">
            <w:pPr>
              <w:spacing w:after="0" w:line="259" w:lineRule="auto"/>
              <w:ind w:left="2" w:firstLine="0"/>
            </w:pPr>
            <w:r>
              <w:t>ADM071</w:t>
            </w:r>
          </w:p>
        </w:tc>
      </w:tr>
      <w:tr w:rsidR="00D67A3E" w:rsidTr="009B541C">
        <w:trPr>
          <w:trHeight w:val="687"/>
        </w:trPr>
        <w:tc>
          <w:tcPr>
            <w:tcW w:w="206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D67A3E" w:rsidRDefault="00D67A3E" w:rsidP="00D67A3E">
            <w:pPr>
              <w:spacing w:after="0" w:line="259" w:lineRule="auto"/>
              <w:ind w:left="8" w:firstLine="0"/>
            </w:pPr>
            <w:r>
              <w:rPr>
                <w:b/>
              </w:rPr>
              <w:t xml:space="preserve">Tema: </w:t>
            </w:r>
          </w:p>
        </w:tc>
        <w:tc>
          <w:tcPr>
            <w:tcW w:w="261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D67A3E" w:rsidRPr="00FA1855" w:rsidRDefault="00D67A3E" w:rsidP="00D67A3E">
            <w:pPr>
              <w:spacing w:after="0" w:line="259" w:lineRule="auto"/>
              <w:ind w:left="0" w:firstLine="0"/>
              <w:rPr>
                <w:lang w:val="es-ES"/>
              </w:rPr>
            </w:pPr>
            <w:r w:rsidRPr="00FA1855">
              <w:rPr>
                <w:lang w:val="es-ES"/>
              </w:rPr>
              <w:t>Asistencia económica/</w:t>
            </w:r>
            <w:r w:rsidR="009B541C" w:rsidRPr="00FA1855">
              <w:rPr>
                <w:lang w:val="es-ES"/>
              </w:rPr>
              <w:br/>
            </w:r>
            <w:r w:rsidRPr="00FA1855">
              <w:rPr>
                <w:lang w:val="es-ES"/>
              </w:rPr>
              <w:t xml:space="preserve">Programa de beneficencia </w:t>
            </w:r>
          </w:p>
        </w:tc>
        <w:tc>
          <w:tcPr>
            <w:tcW w:w="198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D67A3E" w:rsidRPr="00FA1855" w:rsidRDefault="00D67A3E" w:rsidP="00D67A3E">
            <w:pPr>
              <w:spacing w:after="0" w:line="259" w:lineRule="auto"/>
              <w:ind w:left="2" w:firstLine="0"/>
              <w:rPr>
                <w:lang w:val="es-ES"/>
              </w:rPr>
            </w:pPr>
            <w:r w:rsidRPr="00FA1855">
              <w:rPr>
                <w:b/>
                <w:lang w:val="es-ES"/>
              </w:rPr>
              <w:t xml:space="preserve">Fecha de entrada en vigor: </w:t>
            </w:r>
          </w:p>
        </w:tc>
        <w:tc>
          <w:tcPr>
            <w:tcW w:w="243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D67A3E" w:rsidRDefault="00D67A3E" w:rsidP="00D67A3E">
            <w:pPr>
              <w:spacing w:after="0" w:line="259" w:lineRule="auto"/>
              <w:ind w:left="2" w:firstLine="0"/>
            </w:pPr>
            <w:r>
              <w:t xml:space="preserve">6/04 </w:t>
            </w:r>
          </w:p>
        </w:tc>
      </w:tr>
      <w:tr w:rsidR="00D67A3E" w:rsidTr="009B541C">
        <w:trPr>
          <w:trHeight w:val="1180"/>
        </w:trPr>
        <w:tc>
          <w:tcPr>
            <w:tcW w:w="206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D67A3E" w:rsidRDefault="00D67A3E" w:rsidP="00D67A3E">
            <w:pPr>
              <w:spacing w:after="0" w:line="259" w:lineRule="auto"/>
              <w:ind w:left="8" w:firstLine="0"/>
            </w:pPr>
            <w:r>
              <w:rPr>
                <w:b/>
              </w:rPr>
              <w:t xml:space="preserve">Punto de contacto: </w:t>
            </w:r>
          </w:p>
        </w:tc>
        <w:tc>
          <w:tcPr>
            <w:tcW w:w="261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D67A3E" w:rsidRPr="00FA1855" w:rsidRDefault="00DE5028" w:rsidP="00D67A3E">
            <w:pPr>
              <w:spacing w:after="0" w:line="259" w:lineRule="auto"/>
              <w:ind w:left="0" w:firstLine="0"/>
              <w:rPr>
                <w:lang w:val="es-ES"/>
              </w:rPr>
            </w:pPr>
            <w:r>
              <w:rPr>
                <w:lang w:val="es-ES"/>
              </w:rPr>
              <w:t>V</w:t>
            </w:r>
            <w:r w:rsidR="00D67A3E" w:rsidRPr="00FA1855">
              <w:rPr>
                <w:lang w:val="es-ES"/>
              </w:rPr>
              <w:t xml:space="preserve">icepresidente a cargo </w:t>
            </w:r>
            <w:r w:rsidR="00D67A3E" w:rsidRPr="00FA1855">
              <w:rPr>
                <w:lang w:val="es-ES"/>
              </w:rPr>
              <w:br/>
              <w:t xml:space="preserve">del manejo de fondos (VP/CRO, por sus siglas </w:t>
            </w:r>
            <w:r w:rsidR="00D67A3E" w:rsidRPr="00FA1855">
              <w:rPr>
                <w:lang w:val="es-ES"/>
              </w:rPr>
              <w:br/>
              <w:t xml:space="preserve">en inglés) </w:t>
            </w:r>
          </w:p>
        </w:tc>
        <w:tc>
          <w:tcPr>
            <w:tcW w:w="198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D67A3E" w:rsidRDefault="00D67A3E" w:rsidP="00D67A3E">
            <w:pPr>
              <w:spacing w:after="0" w:line="259" w:lineRule="auto"/>
              <w:ind w:left="0" w:firstLine="0"/>
            </w:pPr>
            <w:proofErr w:type="spellStart"/>
            <w:r>
              <w:rPr>
                <w:b/>
              </w:rPr>
              <w:t>Fecha</w:t>
            </w:r>
            <w:proofErr w:type="spellEnd"/>
            <w:r>
              <w:rPr>
                <w:b/>
              </w:rPr>
              <w:t xml:space="preserve"> de </w:t>
            </w:r>
            <w:proofErr w:type="spellStart"/>
            <w:r>
              <w:rPr>
                <w:b/>
              </w:rPr>
              <w:t>revisión</w:t>
            </w:r>
            <w:proofErr w:type="spellEnd"/>
            <w:r>
              <w:rPr>
                <w:b/>
              </w:rPr>
              <w:t xml:space="preserve">: </w:t>
            </w:r>
          </w:p>
        </w:tc>
        <w:tc>
          <w:tcPr>
            <w:tcW w:w="243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D67A3E" w:rsidRDefault="00D67A3E" w:rsidP="00D67A3E">
            <w:pPr>
              <w:spacing w:after="0" w:line="259" w:lineRule="auto"/>
              <w:ind w:left="0" w:firstLine="0"/>
            </w:pPr>
            <w:r>
              <w:t xml:space="preserve">12/10, 1/14, 9/18 </w:t>
            </w:r>
          </w:p>
        </w:tc>
      </w:tr>
      <w:tr w:rsidR="00D67A3E" w:rsidTr="009B541C">
        <w:trPr>
          <w:trHeight w:val="784"/>
        </w:trPr>
        <w:tc>
          <w:tcPr>
            <w:tcW w:w="206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D67A3E" w:rsidRDefault="00D67A3E" w:rsidP="00D67A3E">
            <w:pPr>
              <w:spacing w:after="0" w:line="259" w:lineRule="auto"/>
              <w:ind w:left="10" w:firstLine="0"/>
            </w:pPr>
            <w:r>
              <w:rPr>
                <w:b/>
              </w:rPr>
              <w:t xml:space="preserve">Página: </w:t>
            </w:r>
          </w:p>
        </w:tc>
        <w:tc>
          <w:tcPr>
            <w:tcW w:w="261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D67A3E" w:rsidRDefault="00D67A3E" w:rsidP="00D67A3E">
            <w:pPr>
              <w:spacing w:after="0" w:line="259" w:lineRule="auto"/>
              <w:ind w:left="0" w:firstLine="0"/>
            </w:pPr>
            <w:r>
              <w:t xml:space="preserve">1 de 3 </w:t>
            </w:r>
          </w:p>
        </w:tc>
        <w:tc>
          <w:tcPr>
            <w:tcW w:w="198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D67A3E" w:rsidRDefault="00D67A3E" w:rsidP="00D67A3E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Fecha de revisión: </w:t>
            </w:r>
          </w:p>
        </w:tc>
        <w:tc>
          <w:tcPr>
            <w:tcW w:w="243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D67A3E" w:rsidRDefault="00D67A3E" w:rsidP="00D67A3E">
            <w:pPr>
              <w:spacing w:after="0" w:line="259" w:lineRule="auto"/>
              <w:ind w:left="0" w:firstLine="0"/>
            </w:pPr>
            <w:r>
              <w:t xml:space="preserve">6/004, 3/05, 10/05, 4/07, 1/11,11/15, 11/16, 1/18, 9/18 </w:t>
            </w:r>
          </w:p>
        </w:tc>
      </w:tr>
    </w:tbl>
    <w:p w:rsidR="00357375" w:rsidRDefault="000A79F8">
      <w:pPr>
        <w:spacing w:after="235" w:line="259" w:lineRule="auto"/>
        <w:ind w:left="998" w:right="911" w:firstLine="0"/>
        <w:jc w:val="right"/>
      </w:pPr>
      <w:r>
        <w:rPr>
          <w:rFonts w:ascii="Times New Roman" w:hAnsi="Times New Roman"/>
          <w:sz w:val="2"/>
        </w:rPr>
        <w:t xml:space="preserve"> </w:t>
      </w:r>
    </w:p>
    <w:p w:rsidR="00357375" w:rsidRPr="00FA1855" w:rsidRDefault="000A79F8">
      <w:pPr>
        <w:spacing w:after="131"/>
        <w:ind w:right="387"/>
        <w:rPr>
          <w:lang w:val="es-ES"/>
        </w:rPr>
      </w:pPr>
      <w:r w:rsidRPr="00FA1855">
        <w:rPr>
          <w:b/>
          <w:lang w:val="es-ES"/>
        </w:rPr>
        <w:t xml:space="preserve">PROPÓSITO: </w:t>
      </w:r>
      <w:r w:rsidRPr="00FA1855">
        <w:rPr>
          <w:lang w:val="es-ES"/>
        </w:rPr>
        <w:t xml:space="preserve">impulsar la misión de </w:t>
      </w:r>
      <w:proofErr w:type="spellStart"/>
      <w:r w:rsidRPr="00FA1855">
        <w:rPr>
          <w:lang w:val="es-ES"/>
        </w:rPr>
        <w:t>Children's</w:t>
      </w:r>
      <w:proofErr w:type="spellEnd"/>
      <w:r w:rsidRPr="00FA1855">
        <w:rPr>
          <w:lang w:val="es-ES"/>
        </w:rPr>
        <w:t xml:space="preserve"> de </w:t>
      </w:r>
      <w:r w:rsidR="00B9660D" w:rsidRPr="00FA1855">
        <w:rPr>
          <w:lang w:val="es-ES"/>
        </w:rPr>
        <w:t>“</w:t>
      </w:r>
      <w:r w:rsidRPr="00FA1855">
        <w:rPr>
          <w:lang w:val="es-ES"/>
        </w:rPr>
        <w:t>mejorar la vida de cada niño</w:t>
      </w:r>
      <w:r w:rsidR="00B9660D" w:rsidRPr="00FA1855">
        <w:rPr>
          <w:lang w:val="es-ES"/>
        </w:rPr>
        <w:t>”</w:t>
      </w:r>
      <w:r w:rsidRPr="00FA1855">
        <w:rPr>
          <w:lang w:val="es-ES"/>
        </w:rPr>
        <w:t xml:space="preserve">, proporcionando asistencia económica a los pacientes que lo necesiten. El objetivo de esta política es identificar a los pacientes que reúnan los requisitos para recibir asistencia económica. </w:t>
      </w:r>
    </w:p>
    <w:p w:rsidR="00357375" w:rsidRPr="00FA1855" w:rsidRDefault="000A79F8">
      <w:pPr>
        <w:spacing w:after="130"/>
        <w:ind w:right="387"/>
        <w:rPr>
          <w:lang w:val="es-ES"/>
        </w:rPr>
      </w:pPr>
      <w:r w:rsidRPr="00FA1855">
        <w:rPr>
          <w:b/>
          <w:lang w:val="es-ES"/>
        </w:rPr>
        <w:t xml:space="preserve">LA POLÍTICA DEL HOSPITAL ESTIPULA LO SIGUIENTE: </w:t>
      </w:r>
      <w:r w:rsidRPr="00FA1855">
        <w:rPr>
          <w:lang w:val="es-ES"/>
        </w:rPr>
        <w:t xml:space="preserve">que de acuerdo con su misión, </w:t>
      </w:r>
      <w:proofErr w:type="spellStart"/>
      <w:r w:rsidRPr="00FA1855">
        <w:rPr>
          <w:lang w:val="es-ES"/>
        </w:rPr>
        <w:t>Children’s</w:t>
      </w:r>
      <w:proofErr w:type="spellEnd"/>
      <w:r w:rsidRPr="00FA1855">
        <w:rPr>
          <w:lang w:val="es-ES"/>
        </w:rPr>
        <w:t xml:space="preserve"> tiene la obligación de proporcionar atención médica a todos los pacientes que no puedan pagarla o que requieran ayuda para hacerlo. Idealmente, se determina si corresponde brindar asistencia económica antes de brindar los servicios o al momento de hacerlo, según los ingresos de la familia o el garante, el tamaño del grupo familiar y otras circunstancias particulares. Esta política cubre emergencias y otros servicios de atención médica provistos en los centros de </w:t>
      </w:r>
      <w:proofErr w:type="spellStart"/>
      <w:r w:rsidRPr="00FA1855">
        <w:rPr>
          <w:lang w:val="es-ES"/>
        </w:rPr>
        <w:t>Children's</w:t>
      </w:r>
      <w:proofErr w:type="spellEnd"/>
      <w:r w:rsidRPr="00FA1855">
        <w:rPr>
          <w:lang w:val="es-ES"/>
        </w:rPr>
        <w:t xml:space="preserve"> y por parte de los prestadores cubiertos. Se encuentra a disposición de forma gratuita una copia de las Política de asistencia económica. Los pedidos de copias de estas políticas deben hacerse a través </w:t>
      </w:r>
      <w:r w:rsidR="009B541C" w:rsidRPr="00FA1855">
        <w:rPr>
          <w:lang w:val="es-ES"/>
        </w:rPr>
        <w:br/>
      </w:r>
      <w:r w:rsidRPr="00FA1855">
        <w:rPr>
          <w:lang w:val="es-ES"/>
        </w:rPr>
        <w:t xml:space="preserve">de los asesores económicos, los servicios financieros para los pacientes o a los asistentes sociales. Además, es posible obtener una copia digital de las Políticas de asistencia económica en la página de </w:t>
      </w:r>
      <w:proofErr w:type="spellStart"/>
      <w:r w:rsidRPr="00FA1855">
        <w:rPr>
          <w:lang w:val="es-ES"/>
        </w:rPr>
        <w:t>Children's</w:t>
      </w:r>
      <w:proofErr w:type="spellEnd"/>
      <w:r w:rsidRPr="00FA1855">
        <w:rPr>
          <w:lang w:val="es-ES"/>
        </w:rPr>
        <w:t xml:space="preserve"> en Internet, en la siguiente dirección:</w:t>
      </w:r>
      <w:r w:rsidR="00B9660D" w:rsidRPr="00FA1855">
        <w:rPr>
          <w:lang w:val="es-ES"/>
        </w:rPr>
        <w:t xml:space="preserve"> </w:t>
      </w:r>
    </w:p>
    <w:p w:rsidR="00357375" w:rsidRPr="00FA1855" w:rsidRDefault="00A64211">
      <w:pPr>
        <w:spacing w:after="0" w:line="259" w:lineRule="auto"/>
        <w:ind w:left="720" w:firstLine="0"/>
        <w:rPr>
          <w:lang w:val="es-ES"/>
        </w:rPr>
      </w:pPr>
      <w:hyperlink r:id="rId8">
        <w:r w:rsidR="000A79F8" w:rsidRPr="00FA1855">
          <w:rPr>
            <w:rFonts w:ascii="Garamond" w:hAnsi="Garamond"/>
            <w:sz w:val="24"/>
            <w:u w:val="single" w:color="000000"/>
            <w:lang w:val="es-ES"/>
          </w:rPr>
          <w:t>http://www.childrensomaha.org/main/financial</w:t>
        </w:r>
      </w:hyperlink>
      <w:hyperlink r:id="rId9">
        <w:r w:rsidR="000A79F8" w:rsidRPr="00FA1855">
          <w:rPr>
            <w:rFonts w:ascii="Garamond" w:hAnsi="Garamond"/>
            <w:sz w:val="24"/>
            <w:u w:val="single" w:color="000000"/>
            <w:lang w:val="es-ES"/>
          </w:rPr>
          <w:t>-</w:t>
        </w:r>
      </w:hyperlink>
      <w:hyperlink r:id="rId10">
        <w:r w:rsidR="000A79F8" w:rsidRPr="00FA1855">
          <w:rPr>
            <w:rFonts w:ascii="Garamond" w:hAnsi="Garamond"/>
            <w:sz w:val="24"/>
            <w:u w:val="single" w:color="000000"/>
            <w:lang w:val="es-ES"/>
          </w:rPr>
          <w:t xml:space="preserve">assistance.aspx </w:t>
        </w:r>
      </w:hyperlink>
      <w:hyperlink r:id="rId11">
        <w:r w:rsidR="000A79F8" w:rsidRPr="00FA1855">
          <w:rPr>
            <w:rFonts w:ascii="Garamond" w:hAnsi="Garamond"/>
            <w:sz w:val="24"/>
            <w:lang w:val="es-ES"/>
          </w:rPr>
          <w:t xml:space="preserve"> </w:t>
        </w:r>
      </w:hyperlink>
    </w:p>
    <w:p w:rsidR="00357375" w:rsidRPr="00FA1855" w:rsidRDefault="000A79F8" w:rsidP="00B9660D">
      <w:pPr>
        <w:spacing w:after="0" w:line="259" w:lineRule="auto"/>
        <w:ind w:left="0" w:firstLine="0"/>
        <w:rPr>
          <w:lang w:val="es-ES"/>
        </w:rPr>
      </w:pPr>
      <w:r w:rsidRPr="00FA1855">
        <w:rPr>
          <w:rFonts w:ascii="Garamond" w:hAnsi="Garamond"/>
          <w:lang w:val="es-ES"/>
        </w:rPr>
        <w:t xml:space="preserve"> </w:t>
      </w:r>
    </w:p>
    <w:p w:rsidR="00357375" w:rsidRPr="00FA1855" w:rsidRDefault="000A79F8">
      <w:pPr>
        <w:spacing w:after="0" w:line="259" w:lineRule="auto"/>
        <w:ind w:left="182"/>
        <w:rPr>
          <w:lang w:val="es-ES"/>
        </w:rPr>
      </w:pPr>
      <w:r w:rsidRPr="00FA1855">
        <w:rPr>
          <w:b/>
          <w:lang w:val="es-ES"/>
        </w:rPr>
        <w:t xml:space="preserve">DEFINICIONES: </w:t>
      </w:r>
    </w:p>
    <w:p w:rsidR="00357375" w:rsidRPr="00FA1855" w:rsidRDefault="000A79F8">
      <w:pPr>
        <w:ind w:left="190"/>
        <w:rPr>
          <w:lang w:val="es-ES"/>
        </w:rPr>
      </w:pPr>
      <w:r w:rsidRPr="00FA1855">
        <w:rPr>
          <w:b/>
          <w:lang w:val="es-ES"/>
        </w:rPr>
        <w:t>Montos generalmente facturados</w:t>
      </w:r>
      <w:r w:rsidRPr="00FA1855">
        <w:rPr>
          <w:lang w:val="es-ES"/>
        </w:rPr>
        <w:t xml:space="preserve">: los Montos Generalmente Facturados (AGB, por sus siglas en inglés) no superarán los montos que usualmente se le facturan a las personas con una cobertura de seguro. Los AGB se calculan según una metodología retrospectiva. Tanto el porcentaje de los AGB como la metodología utilizada para </w:t>
      </w:r>
      <w:r w:rsidR="009B541C" w:rsidRPr="00FA1855">
        <w:rPr>
          <w:lang w:val="es-ES"/>
        </w:rPr>
        <w:br/>
      </w:r>
      <w:r w:rsidRPr="00FA1855">
        <w:rPr>
          <w:lang w:val="es-ES"/>
        </w:rPr>
        <w:t xml:space="preserve">su cálculo se encuentran disponibles a pedido. Los pedidos de copias del porcentaje de los AGB y la metodología utilizada para su cálculo deben enviarse a los asesores económicos, los servicios financieros para los pacientes </w:t>
      </w:r>
      <w:r w:rsidR="009B541C" w:rsidRPr="00FA1855">
        <w:rPr>
          <w:lang w:val="es-ES"/>
        </w:rPr>
        <w:br/>
      </w:r>
      <w:r w:rsidRPr="00FA1855">
        <w:rPr>
          <w:lang w:val="es-ES"/>
        </w:rPr>
        <w:t xml:space="preserve">o a los asistentes sociales. </w:t>
      </w:r>
    </w:p>
    <w:p w:rsidR="00357375" w:rsidRPr="00FA1855" w:rsidRDefault="000A79F8">
      <w:pPr>
        <w:spacing w:after="0" w:line="259" w:lineRule="auto"/>
        <w:ind w:left="0" w:firstLine="0"/>
        <w:rPr>
          <w:lang w:val="es-ES"/>
        </w:rPr>
      </w:pPr>
      <w:r w:rsidRPr="00FA1855">
        <w:rPr>
          <w:lang w:val="es-ES"/>
        </w:rPr>
        <w:t xml:space="preserve"> </w:t>
      </w:r>
    </w:p>
    <w:p w:rsidR="00357375" w:rsidRPr="00FA1855" w:rsidRDefault="000A79F8">
      <w:pPr>
        <w:ind w:left="190"/>
        <w:rPr>
          <w:lang w:val="es-ES"/>
        </w:rPr>
      </w:pPr>
      <w:r w:rsidRPr="00FA1855">
        <w:rPr>
          <w:b/>
          <w:lang w:val="es-ES"/>
        </w:rPr>
        <w:t xml:space="preserve">Cobros: </w:t>
      </w:r>
      <w:r w:rsidRPr="00FA1855">
        <w:rPr>
          <w:lang w:val="es-ES"/>
        </w:rPr>
        <w:t xml:space="preserve">es el proceso empleado por </w:t>
      </w:r>
      <w:proofErr w:type="spellStart"/>
      <w:r w:rsidRPr="00FA1855">
        <w:rPr>
          <w:lang w:val="es-ES"/>
        </w:rPr>
        <w:t>Children's</w:t>
      </w:r>
      <w:proofErr w:type="spellEnd"/>
      <w:r w:rsidRPr="00FA1855">
        <w:rPr>
          <w:lang w:val="es-ES"/>
        </w:rPr>
        <w:t xml:space="preserve"> para cobrar los pagos hechos a sí mismos y los saldos pendientes luego del vencimiento del seguro del paciente o garante una vez cobradas las indemnizaciones del seguro. Todos </w:t>
      </w:r>
      <w:r w:rsidR="009B541C" w:rsidRPr="00FA1855">
        <w:rPr>
          <w:lang w:val="es-ES"/>
        </w:rPr>
        <w:br/>
      </w:r>
      <w:r w:rsidRPr="00FA1855">
        <w:rPr>
          <w:lang w:val="es-ES"/>
        </w:rPr>
        <w:t xml:space="preserve">los montos adeudados por la pacientes se considerarán de acuerdo con las Políticas de cobro de </w:t>
      </w:r>
      <w:proofErr w:type="spellStart"/>
      <w:r w:rsidRPr="00FA1855">
        <w:rPr>
          <w:lang w:val="es-ES"/>
        </w:rPr>
        <w:t>Children's</w:t>
      </w:r>
      <w:proofErr w:type="spellEnd"/>
      <w:r w:rsidRPr="00FA1855">
        <w:rPr>
          <w:lang w:val="es-ES"/>
        </w:rPr>
        <w:t xml:space="preserve">. Estas políticas se encuentran disponibles a pedido. Los pedidos de copias de las Políticas de cobro deben enviarse </w:t>
      </w:r>
      <w:r w:rsidR="009B541C" w:rsidRPr="00FA1855">
        <w:rPr>
          <w:lang w:val="es-ES"/>
        </w:rPr>
        <w:br/>
      </w:r>
      <w:r w:rsidRPr="00FA1855">
        <w:rPr>
          <w:lang w:val="es-ES"/>
        </w:rPr>
        <w:t xml:space="preserve">a los asesores económicos, los servicios financieros para los pacientes o a los asistentes sociales. </w:t>
      </w:r>
    </w:p>
    <w:p w:rsidR="00357375" w:rsidRPr="00FA1855" w:rsidRDefault="000A79F8">
      <w:pPr>
        <w:spacing w:after="0" w:line="259" w:lineRule="auto"/>
        <w:ind w:left="0" w:firstLine="0"/>
        <w:rPr>
          <w:lang w:val="es-ES"/>
        </w:rPr>
      </w:pPr>
      <w:r w:rsidRPr="00FA1855">
        <w:rPr>
          <w:sz w:val="21"/>
          <w:lang w:val="es-ES"/>
        </w:rPr>
        <w:t xml:space="preserve"> </w:t>
      </w:r>
    </w:p>
    <w:p w:rsidR="00B9660D" w:rsidRPr="00FA1855" w:rsidRDefault="00B9660D">
      <w:pPr>
        <w:spacing w:after="160" w:line="259" w:lineRule="auto"/>
        <w:ind w:left="0" w:firstLine="0"/>
        <w:rPr>
          <w:b/>
          <w:lang w:val="es-ES"/>
        </w:rPr>
      </w:pPr>
      <w:r w:rsidRPr="00FA1855">
        <w:rPr>
          <w:b/>
          <w:lang w:val="es-ES"/>
        </w:rPr>
        <w:br w:type="page"/>
      </w:r>
    </w:p>
    <w:p w:rsidR="00357375" w:rsidRPr="00FA1855" w:rsidRDefault="000A79F8" w:rsidP="009B541C">
      <w:pPr>
        <w:ind w:left="190" w:right="387"/>
        <w:rPr>
          <w:lang w:val="es-ES"/>
        </w:rPr>
      </w:pPr>
      <w:r w:rsidRPr="00FA1855">
        <w:rPr>
          <w:b/>
          <w:lang w:val="es-ES"/>
        </w:rPr>
        <w:lastRenderedPageBreak/>
        <w:t>Proveedores cubiertos:</w:t>
      </w:r>
      <w:r w:rsidRPr="00FA1855">
        <w:rPr>
          <w:lang w:val="es-ES"/>
        </w:rPr>
        <w:t xml:space="preserve"> médicos y demás profesionales que brindan servicios de atención médica a los pacientes en </w:t>
      </w:r>
      <w:proofErr w:type="spellStart"/>
      <w:r w:rsidRPr="00FA1855">
        <w:rPr>
          <w:lang w:val="es-ES"/>
        </w:rPr>
        <w:t>Children</w:t>
      </w:r>
      <w:r w:rsidRPr="00FA1855">
        <w:rPr>
          <w:rFonts w:ascii="Calibri" w:hAnsi="Calibri"/>
          <w:lang w:val="es-ES"/>
        </w:rPr>
        <w:t>’</w:t>
      </w:r>
      <w:r w:rsidRPr="00FA1855">
        <w:rPr>
          <w:lang w:val="es-ES"/>
        </w:rPr>
        <w:t>s</w:t>
      </w:r>
      <w:proofErr w:type="spellEnd"/>
      <w:r w:rsidRPr="00FA1855">
        <w:rPr>
          <w:lang w:val="es-ES"/>
        </w:rPr>
        <w:t xml:space="preserve">. Se pondrá a disposición a pedido de los asesores económicos, los servicios financieros para los pacientes o a los asistentes sociales una lista en formato papel de los proveedores cubiertos. Esta lista de proveedores cubiertos estará disponible también a través de la página de Internet de </w:t>
      </w:r>
      <w:proofErr w:type="spellStart"/>
      <w:r w:rsidRPr="00FA1855">
        <w:rPr>
          <w:lang w:val="es-ES"/>
        </w:rPr>
        <w:t>Children</w:t>
      </w:r>
      <w:r w:rsidRPr="00FA1855">
        <w:rPr>
          <w:rFonts w:ascii="Calibri" w:hAnsi="Calibri"/>
          <w:lang w:val="es-ES"/>
        </w:rPr>
        <w:t>’</w:t>
      </w:r>
      <w:r w:rsidRPr="00FA1855">
        <w:rPr>
          <w:lang w:val="es-ES"/>
        </w:rPr>
        <w:t>s</w:t>
      </w:r>
      <w:proofErr w:type="spellEnd"/>
      <w:r w:rsidRPr="00FA1855">
        <w:rPr>
          <w:lang w:val="es-ES"/>
        </w:rPr>
        <w:t xml:space="preserve">. La lista se actualizará de forma cuatrimestral. </w:t>
      </w:r>
    </w:p>
    <w:p w:rsidR="00357375" w:rsidRPr="00FA1855" w:rsidRDefault="000A79F8">
      <w:pPr>
        <w:spacing w:after="0" w:line="259" w:lineRule="auto"/>
        <w:ind w:left="0" w:firstLine="0"/>
        <w:rPr>
          <w:lang w:val="es-ES"/>
        </w:rPr>
      </w:pPr>
      <w:r w:rsidRPr="00FA1855">
        <w:rPr>
          <w:sz w:val="19"/>
          <w:lang w:val="es-ES"/>
        </w:rPr>
        <w:t xml:space="preserve"> </w:t>
      </w:r>
    </w:p>
    <w:p w:rsidR="00357375" w:rsidRPr="00FA1855" w:rsidRDefault="000A79F8">
      <w:pPr>
        <w:ind w:left="190" w:right="572"/>
        <w:rPr>
          <w:lang w:val="es-ES"/>
        </w:rPr>
      </w:pPr>
      <w:r w:rsidRPr="00FA1855">
        <w:rPr>
          <w:b/>
          <w:lang w:val="es-ES"/>
        </w:rPr>
        <w:t xml:space="preserve">Garante: </w:t>
      </w:r>
      <w:r w:rsidRPr="00FA1855">
        <w:rPr>
          <w:lang w:val="es-ES"/>
        </w:rPr>
        <w:t xml:space="preserve">es la persona que firma el formulario de Consentimiento de atención médica o la Asignación de beneficios que contiene el Acuerdo económico según el cual el suscriptor asume la responsabilidad por el pago completo de los servicios prestados al paciente. </w:t>
      </w:r>
    </w:p>
    <w:p w:rsidR="00357375" w:rsidRPr="00FA1855" w:rsidRDefault="000A79F8">
      <w:pPr>
        <w:spacing w:after="0" w:line="259" w:lineRule="auto"/>
        <w:ind w:left="0" w:firstLine="0"/>
        <w:rPr>
          <w:lang w:val="es-ES"/>
        </w:rPr>
      </w:pPr>
      <w:r w:rsidRPr="00FA1855">
        <w:rPr>
          <w:lang w:val="es-ES"/>
        </w:rPr>
        <w:t xml:space="preserve"> </w:t>
      </w:r>
    </w:p>
    <w:p w:rsidR="00357375" w:rsidRPr="00FA1855" w:rsidRDefault="000A79F8">
      <w:pPr>
        <w:spacing w:after="28"/>
        <w:ind w:left="190"/>
        <w:rPr>
          <w:lang w:val="es-ES"/>
        </w:rPr>
      </w:pPr>
      <w:r w:rsidRPr="00FA1855">
        <w:rPr>
          <w:b/>
          <w:lang w:val="es-ES"/>
        </w:rPr>
        <w:t xml:space="preserve">Asistencia económica: </w:t>
      </w:r>
      <w:r w:rsidRPr="00FA1855">
        <w:rPr>
          <w:lang w:val="es-ES"/>
        </w:rPr>
        <w:t xml:space="preserve">es la asistencia económica otorgada a las personas que no puedan pagar las deudas personales por los servicios de atención médica o que sean necesarios desde el punto de vista médico provistos </w:t>
      </w:r>
      <w:r w:rsidR="009B541C" w:rsidRPr="00FA1855">
        <w:rPr>
          <w:lang w:val="es-ES"/>
        </w:rPr>
        <w:br/>
      </w:r>
      <w:r w:rsidRPr="00FA1855">
        <w:rPr>
          <w:lang w:val="es-ES"/>
        </w:rPr>
        <w:t xml:space="preserve">por </w:t>
      </w:r>
      <w:proofErr w:type="spellStart"/>
      <w:r w:rsidRPr="00FA1855">
        <w:rPr>
          <w:lang w:val="es-ES"/>
        </w:rPr>
        <w:t>Children's</w:t>
      </w:r>
      <w:proofErr w:type="spellEnd"/>
      <w:r w:rsidRPr="00FA1855">
        <w:rPr>
          <w:lang w:val="es-ES"/>
        </w:rPr>
        <w:t xml:space="preserve">. </w:t>
      </w:r>
    </w:p>
    <w:p w:rsidR="00357375" w:rsidRPr="00FA1855" w:rsidRDefault="000A79F8">
      <w:pPr>
        <w:spacing w:after="0" w:line="259" w:lineRule="auto"/>
        <w:ind w:left="0" w:firstLine="0"/>
        <w:rPr>
          <w:lang w:val="es-ES"/>
        </w:rPr>
      </w:pPr>
      <w:r w:rsidRPr="00FA1855">
        <w:rPr>
          <w:lang w:val="es-ES"/>
        </w:rPr>
        <w:t xml:space="preserve"> </w:t>
      </w:r>
    </w:p>
    <w:p w:rsidR="00357375" w:rsidRPr="00FA1855" w:rsidRDefault="000A79F8">
      <w:pPr>
        <w:ind w:left="190" w:right="387"/>
        <w:rPr>
          <w:lang w:val="es-ES"/>
        </w:rPr>
      </w:pPr>
      <w:r w:rsidRPr="00FA1855">
        <w:rPr>
          <w:b/>
          <w:lang w:val="es-ES"/>
        </w:rPr>
        <w:t>Índice federal de pobreza (FPL, por sus siglas en inglés)</w:t>
      </w:r>
      <w:r w:rsidRPr="00FA1855">
        <w:rPr>
          <w:lang w:val="es-ES"/>
        </w:rPr>
        <w:t xml:space="preserve">: son las Pautas federales sobre pobreza publicadas anualmente por el gobierno federal. </w:t>
      </w:r>
    </w:p>
    <w:p w:rsidR="00357375" w:rsidRPr="00FA1855" w:rsidRDefault="000A79F8">
      <w:pPr>
        <w:spacing w:after="0" w:line="259" w:lineRule="auto"/>
        <w:ind w:left="182"/>
        <w:rPr>
          <w:lang w:val="es-ES"/>
        </w:rPr>
      </w:pPr>
      <w:r w:rsidRPr="00FA1855">
        <w:rPr>
          <w:b/>
          <w:lang w:val="es-ES"/>
        </w:rPr>
        <w:t xml:space="preserve">PROCEDIMIENTO: </w:t>
      </w:r>
    </w:p>
    <w:p w:rsidR="00357375" w:rsidRPr="00FA1855" w:rsidRDefault="000A79F8">
      <w:pPr>
        <w:ind w:right="387"/>
        <w:rPr>
          <w:lang w:val="es-ES"/>
        </w:rPr>
      </w:pPr>
      <w:r w:rsidRPr="00FA1855">
        <w:rPr>
          <w:b/>
          <w:lang w:val="es-ES"/>
        </w:rPr>
        <w:t>Identificación de necesidad de asistencia económica</w:t>
      </w:r>
      <w:r w:rsidRPr="00FA1855">
        <w:rPr>
          <w:lang w:val="es-ES"/>
        </w:rPr>
        <w:t xml:space="preserve">: la función principal de los asesores económicos, los servicios financieros para los pacientes y los asistentes sociales es identificar las necesidades económicas. Estos miembros del personal recibirán capacitación para identificar las necesidades de los pacientes y responder sus preguntas sobre la asistencia económica. Se pondrán a disposición del público copias a pedido de las Políticas de asistencia económica y los formularios de solicitud de asistencia económica. Además, estas copias estarán disponibles en la página de Internet de </w:t>
      </w:r>
      <w:proofErr w:type="spellStart"/>
      <w:r w:rsidRPr="00FA1855">
        <w:rPr>
          <w:lang w:val="es-ES"/>
        </w:rPr>
        <w:t>Children's</w:t>
      </w:r>
      <w:proofErr w:type="spellEnd"/>
      <w:r w:rsidRPr="00FA1855">
        <w:rPr>
          <w:lang w:val="es-ES"/>
        </w:rPr>
        <w:t xml:space="preserve">. Todas las preguntas o inquietudes que no puedan contestarse serán derivadas al encargado o supervisor de Servicios Económicos para Pacientes para su resolución. </w:t>
      </w:r>
    </w:p>
    <w:p w:rsidR="00357375" w:rsidRPr="00FA1855" w:rsidRDefault="000A79F8">
      <w:pPr>
        <w:spacing w:after="0" w:line="259" w:lineRule="auto"/>
        <w:ind w:left="0" w:firstLine="0"/>
        <w:rPr>
          <w:lang w:val="es-ES"/>
        </w:rPr>
      </w:pPr>
      <w:r w:rsidRPr="00FA1855">
        <w:rPr>
          <w:sz w:val="22"/>
          <w:lang w:val="es-ES"/>
        </w:rPr>
        <w:t xml:space="preserve"> </w:t>
      </w:r>
    </w:p>
    <w:p w:rsidR="00357375" w:rsidRPr="00FA1855" w:rsidRDefault="000A79F8">
      <w:pPr>
        <w:spacing w:after="0" w:line="259" w:lineRule="auto"/>
        <w:ind w:left="0" w:firstLine="0"/>
        <w:rPr>
          <w:lang w:val="es-ES"/>
        </w:rPr>
      </w:pPr>
      <w:r w:rsidRPr="00FA1855">
        <w:rPr>
          <w:sz w:val="18"/>
          <w:lang w:val="es-ES"/>
        </w:rPr>
        <w:t xml:space="preserve"> </w:t>
      </w:r>
    </w:p>
    <w:p w:rsidR="00357375" w:rsidRPr="00FA1855" w:rsidRDefault="000A79F8">
      <w:pPr>
        <w:ind w:right="387"/>
        <w:rPr>
          <w:lang w:val="es-ES"/>
        </w:rPr>
      </w:pPr>
      <w:r w:rsidRPr="00FA1855">
        <w:rPr>
          <w:b/>
          <w:lang w:val="es-ES"/>
        </w:rPr>
        <w:t xml:space="preserve">Criterios de selección: </w:t>
      </w:r>
      <w:r w:rsidRPr="00FA1855">
        <w:rPr>
          <w:lang w:val="es-ES"/>
        </w:rPr>
        <w:t>con el fin de administrar los limitados recursos económicos de forma criteriosa, la determinación para el otorgamiento de asistencia económica se basará en los siguientes criterios:</w:t>
      </w:r>
      <w:r w:rsidRPr="00FA1855">
        <w:rPr>
          <w:b/>
          <w:lang w:val="es-ES"/>
        </w:rPr>
        <w:t xml:space="preserve"> </w:t>
      </w:r>
    </w:p>
    <w:p w:rsidR="00357375" w:rsidRPr="00FA1855" w:rsidRDefault="000A79F8">
      <w:pPr>
        <w:numPr>
          <w:ilvl w:val="0"/>
          <w:numId w:val="1"/>
        </w:numPr>
        <w:spacing w:after="0" w:line="242" w:lineRule="auto"/>
        <w:ind w:left="907" w:right="387" w:hanging="360"/>
        <w:rPr>
          <w:lang w:val="es-ES"/>
        </w:rPr>
      </w:pPr>
      <w:r w:rsidRPr="00FA1855">
        <w:rPr>
          <w:lang w:val="es-ES"/>
        </w:rPr>
        <w:t>Se destinará asistencia económica a los procedimientos y servicios que resulten necesarios desde el punto de vista médico.</w:t>
      </w:r>
      <w:r w:rsidR="00B9660D" w:rsidRPr="00FA1855">
        <w:rPr>
          <w:lang w:val="es-ES"/>
        </w:rPr>
        <w:t xml:space="preserve"> </w:t>
      </w:r>
      <w:r w:rsidRPr="00FA1855">
        <w:rPr>
          <w:lang w:val="es-ES"/>
        </w:rPr>
        <w:t xml:space="preserve">Los servicios cosméticos no clasifican para recibir asistencia económica, así como tampoco los cascos correctores para bebés ni los programas de desórdenes alimenticios o el programa HEROES. </w:t>
      </w:r>
    </w:p>
    <w:p w:rsidR="00357375" w:rsidRPr="00FA1855" w:rsidRDefault="000A79F8">
      <w:pPr>
        <w:numPr>
          <w:ilvl w:val="0"/>
          <w:numId w:val="1"/>
        </w:numPr>
        <w:ind w:left="907" w:right="387" w:hanging="360"/>
        <w:rPr>
          <w:lang w:val="es-ES"/>
        </w:rPr>
      </w:pPr>
      <w:r w:rsidRPr="00FA1855">
        <w:rPr>
          <w:lang w:val="es-ES"/>
        </w:rPr>
        <w:t xml:space="preserve">Todos los participantes deben solicitar Medicaid. La certificación o prueba de rechazo de Medicaid es un requisito obligatorio para ser considerado como beneficiario de asistencia económica. En circunstancias extremas y según lo considere necesario, el VP/CRO puede omitir este requisito. </w:t>
      </w:r>
    </w:p>
    <w:p w:rsidR="00E472C4" w:rsidRPr="00FA1855" w:rsidRDefault="000A79F8">
      <w:pPr>
        <w:numPr>
          <w:ilvl w:val="0"/>
          <w:numId w:val="1"/>
        </w:numPr>
        <w:ind w:left="907" w:right="387" w:hanging="360"/>
        <w:rPr>
          <w:lang w:val="es-ES"/>
        </w:rPr>
      </w:pPr>
      <w:r w:rsidRPr="00FA1855">
        <w:rPr>
          <w:lang w:val="es-ES"/>
        </w:rPr>
        <w:t xml:space="preserve">Es necesario completar la solicitud de asistencia económica. Los solicitantes deben incluir la siguiente información: </w:t>
      </w:r>
    </w:p>
    <w:p w:rsidR="00357375" w:rsidRDefault="000A79F8" w:rsidP="00E472C4">
      <w:pPr>
        <w:numPr>
          <w:ilvl w:val="1"/>
          <w:numId w:val="1"/>
        </w:numPr>
        <w:ind w:right="1008" w:hanging="281"/>
      </w:pPr>
      <w:proofErr w:type="spellStart"/>
      <w:r>
        <w:t>Ingresos</w:t>
      </w:r>
      <w:proofErr w:type="spellEnd"/>
      <w:r>
        <w:t xml:space="preserve"> </w:t>
      </w:r>
      <w:proofErr w:type="spellStart"/>
      <w:r>
        <w:t>brutos</w:t>
      </w:r>
      <w:proofErr w:type="spellEnd"/>
      <w:r>
        <w:t xml:space="preserve"> </w:t>
      </w:r>
      <w:proofErr w:type="spellStart"/>
      <w:r>
        <w:t>familiares</w:t>
      </w:r>
      <w:proofErr w:type="spellEnd"/>
      <w:r>
        <w:t xml:space="preserve">. </w:t>
      </w:r>
    </w:p>
    <w:p w:rsidR="00357375" w:rsidRPr="00FA1855" w:rsidRDefault="000A79F8" w:rsidP="00E472C4">
      <w:pPr>
        <w:numPr>
          <w:ilvl w:val="1"/>
          <w:numId w:val="1"/>
        </w:numPr>
        <w:ind w:right="1107" w:hanging="281"/>
        <w:rPr>
          <w:lang w:val="es-ES"/>
        </w:rPr>
      </w:pPr>
      <w:r w:rsidRPr="00FA1855">
        <w:rPr>
          <w:lang w:val="es-ES"/>
        </w:rPr>
        <w:t xml:space="preserve">Declaración W-2 o declaración fiscal de ganancias más reciente de todos los trabajadores activos de la familia. </w:t>
      </w:r>
    </w:p>
    <w:p w:rsidR="00E472C4" w:rsidRPr="00FA1855" w:rsidRDefault="000A79F8" w:rsidP="00E472C4">
      <w:pPr>
        <w:numPr>
          <w:ilvl w:val="1"/>
          <w:numId w:val="1"/>
        </w:numPr>
        <w:ind w:right="1107" w:hanging="281"/>
        <w:rPr>
          <w:lang w:val="es-ES"/>
        </w:rPr>
      </w:pPr>
      <w:r w:rsidRPr="00FA1855">
        <w:rPr>
          <w:lang w:val="es-ES"/>
        </w:rPr>
        <w:t xml:space="preserve">Mes de verificación de ingresos más reciente (talones de pago, depósitos bancarios, etc.). </w:t>
      </w:r>
    </w:p>
    <w:p w:rsidR="00E472C4" w:rsidRPr="00FA1855" w:rsidRDefault="000A79F8" w:rsidP="00E472C4">
      <w:pPr>
        <w:numPr>
          <w:ilvl w:val="1"/>
          <w:numId w:val="1"/>
        </w:numPr>
        <w:ind w:right="1107" w:hanging="281"/>
        <w:rPr>
          <w:lang w:val="es-ES"/>
        </w:rPr>
      </w:pPr>
      <w:r w:rsidRPr="00FA1855">
        <w:rPr>
          <w:lang w:val="es-ES"/>
        </w:rPr>
        <w:t xml:space="preserve">Carta con la determinación de Medicaid </w:t>
      </w:r>
    </w:p>
    <w:p w:rsidR="00357375" w:rsidRPr="00FA1855" w:rsidRDefault="000A79F8" w:rsidP="00E472C4">
      <w:pPr>
        <w:numPr>
          <w:ilvl w:val="1"/>
          <w:numId w:val="1"/>
        </w:numPr>
        <w:ind w:right="1107" w:hanging="281"/>
        <w:rPr>
          <w:lang w:val="es-ES"/>
        </w:rPr>
      </w:pPr>
      <w:r w:rsidRPr="00FA1855">
        <w:rPr>
          <w:lang w:val="es-ES"/>
        </w:rPr>
        <w:t xml:space="preserve">Para las unidades familiares que declaren no tener ingresos, un estado financiero completo y firmado. </w:t>
      </w:r>
    </w:p>
    <w:p w:rsidR="00357375" w:rsidRPr="00FA1855" w:rsidRDefault="000A79F8">
      <w:pPr>
        <w:numPr>
          <w:ilvl w:val="0"/>
          <w:numId w:val="1"/>
        </w:numPr>
        <w:spacing w:after="90"/>
        <w:ind w:left="907" w:right="387" w:hanging="360"/>
        <w:rPr>
          <w:lang w:val="es-ES"/>
        </w:rPr>
      </w:pPr>
      <w:r w:rsidRPr="00FA1855">
        <w:rPr>
          <w:lang w:val="es-ES"/>
        </w:rPr>
        <w:t xml:space="preserve">Las solicitudes completadas deben enviarse al hospital en un plazo de 30 días. </w:t>
      </w:r>
    </w:p>
    <w:p w:rsidR="00357375" w:rsidRPr="00FA1855" w:rsidRDefault="000A79F8">
      <w:pPr>
        <w:spacing w:after="0" w:line="259" w:lineRule="auto"/>
        <w:ind w:left="0" w:firstLine="0"/>
        <w:rPr>
          <w:lang w:val="es-ES"/>
        </w:rPr>
      </w:pPr>
      <w:r w:rsidRPr="00FA1855">
        <w:rPr>
          <w:sz w:val="30"/>
          <w:lang w:val="es-ES"/>
        </w:rPr>
        <w:t xml:space="preserve"> </w:t>
      </w:r>
    </w:p>
    <w:p w:rsidR="00357375" w:rsidRPr="00FA1855" w:rsidRDefault="000A79F8">
      <w:pPr>
        <w:ind w:left="118" w:right="387"/>
        <w:rPr>
          <w:lang w:val="es-ES"/>
        </w:rPr>
      </w:pPr>
      <w:r w:rsidRPr="00FA1855">
        <w:rPr>
          <w:b/>
          <w:lang w:val="es-ES"/>
        </w:rPr>
        <w:t xml:space="preserve">Evaluación y determinación de una solicitud: </w:t>
      </w:r>
      <w:r w:rsidRPr="00FA1855">
        <w:rPr>
          <w:lang w:val="es-ES"/>
        </w:rPr>
        <w:t xml:space="preserve">el Departamento de Servicios Financieros para los pacientes </w:t>
      </w:r>
      <w:r w:rsidR="00E472C4" w:rsidRPr="00FA1855">
        <w:rPr>
          <w:lang w:val="es-ES"/>
        </w:rPr>
        <w:br/>
      </w:r>
      <w:r w:rsidRPr="00FA1855">
        <w:rPr>
          <w:lang w:val="es-ES"/>
        </w:rPr>
        <w:t>del hospital procesa todas las solicitudes de asistencia económica.</w:t>
      </w:r>
      <w:r w:rsidR="00B9660D" w:rsidRPr="00FA1855">
        <w:rPr>
          <w:lang w:val="es-ES"/>
        </w:rPr>
        <w:t xml:space="preserve"> </w:t>
      </w:r>
    </w:p>
    <w:p w:rsidR="00357375" w:rsidRPr="00FA1855" w:rsidRDefault="000A79F8">
      <w:pPr>
        <w:numPr>
          <w:ilvl w:val="0"/>
          <w:numId w:val="2"/>
        </w:numPr>
        <w:ind w:right="387" w:hanging="360"/>
        <w:rPr>
          <w:lang w:val="es-ES"/>
        </w:rPr>
      </w:pPr>
      <w:r w:rsidRPr="00FA1855">
        <w:rPr>
          <w:lang w:val="es-ES"/>
        </w:rPr>
        <w:t xml:space="preserve">Las solicitudes se procesan en un plazo de 30 días a partir del momento de su recepción. </w:t>
      </w:r>
    </w:p>
    <w:p w:rsidR="00357375" w:rsidRPr="00FA1855" w:rsidRDefault="000A79F8">
      <w:pPr>
        <w:numPr>
          <w:ilvl w:val="0"/>
          <w:numId w:val="2"/>
        </w:numPr>
        <w:ind w:right="387" w:hanging="360"/>
        <w:rPr>
          <w:lang w:val="es-ES"/>
        </w:rPr>
      </w:pPr>
      <w:r w:rsidRPr="00FA1855">
        <w:rPr>
          <w:lang w:val="es-ES"/>
        </w:rPr>
        <w:t xml:space="preserve">Para determinar si el paciente cumple o no con los requisitos se tomará un porcentaje de los ingresos de </w:t>
      </w:r>
      <w:r w:rsidR="00E472C4" w:rsidRPr="00FA1855">
        <w:rPr>
          <w:lang w:val="es-ES"/>
        </w:rPr>
        <w:br/>
      </w:r>
      <w:r w:rsidRPr="00FA1855">
        <w:rPr>
          <w:lang w:val="es-ES"/>
        </w:rPr>
        <w:t xml:space="preserve">la familia y se lo comparará con el FPL del año en curso. Consulte el Anexo A para más información sobre la escala actual del FPL y el ajuste de la asistencia económica correspondiente. </w:t>
      </w:r>
    </w:p>
    <w:p w:rsidR="00357375" w:rsidRPr="00FA1855" w:rsidRDefault="000A79F8">
      <w:pPr>
        <w:numPr>
          <w:ilvl w:val="0"/>
          <w:numId w:val="2"/>
        </w:numPr>
        <w:spacing w:after="0" w:line="242" w:lineRule="auto"/>
        <w:ind w:right="387" w:hanging="360"/>
        <w:rPr>
          <w:lang w:val="es-ES"/>
        </w:rPr>
      </w:pPr>
      <w:r w:rsidRPr="00FA1855">
        <w:rPr>
          <w:lang w:val="es-ES"/>
        </w:rPr>
        <w:t xml:space="preserve">Las familias que, según sus ingresos, no cumplen con los requisitos para recibir asistencia económica, pero que, sin embargo, tienen una deuda extra de atención médica comprobable mayor al 20 % de sus ingresos brutos posiblemente puedan recibir asistencia ante catástrofe. La cuenta se ajustará de modo </w:t>
      </w:r>
      <w:r w:rsidR="00E472C4" w:rsidRPr="00FA1855">
        <w:rPr>
          <w:lang w:val="es-ES"/>
        </w:rPr>
        <w:br/>
      </w:r>
      <w:r w:rsidRPr="00FA1855">
        <w:rPr>
          <w:lang w:val="es-ES"/>
        </w:rPr>
        <w:t>tal que el 1 % de los ingresos brutos familiares queden a su cargo únicamente.</w:t>
      </w:r>
      <w:r w:rsidR="00B9660D" w:rsidRPr="00FA1855">
        <w:rPr>
          <w:lang w:val="es-ES"/>
        </w:rPr>
        <w:t xml:space="preserve"> </w:t>
      </w:r>
    </w:p>
    <w:p w:rsidR="00357375" w:rsidRPr="00FA1855" w:rsidRDefault="000A79F8">
      <w:pPr>
        <w:numPr>
          <w:ilvl w:val="0"/>
          <w:numId w:val="2"/>
        </w:numPr>
        <w:ind w:right="387" w:hanging="360"/>
        <w:rPr>
          <w:lang w:val="es-ES"/>
        </w:rPr>
      </w:pPr>
      <w:r w:rsidRPr="00FA1855">
        <w:rPr>
          <w:lang w:val="es-ES"/>
        </w:rPr>
        <w:t xml:space="preserve">Una vez tomada una determinación, el garante recibirá una carta informándole sobre la aceptación o no </w:t>
      </w:r>
      <w:r w:rsidR="00E472C4" w:rsidRPr="00FA1855">
        <w:rPr>
          <w:lang w:val="es-ES"/>
        </w:rPr>
        <w:br/>
      </w:r>
      <w:r w:rsidRPr="00FA1855">
        <w:rPr>
          <w:lang w:val="es-ES"/>
        </w:rPr>
        <w:t xml:space="preserve">de su solicitud a la dirección proporcionada en el formulario. </w:t>
      </w:r>
    </w:p>
    <w:p w:rsidR="00357375" w:rsidRPr="00FA1855" w:rsidRDefault="000A79F8">
      <w:pPr>
        <w:numPr>
          <w:ilvl w:val="0"/>
          <w:numId w:val="2"/>
        </w:numPr>
        <w:ind w:right="387" w:hanging="360"/>
        <w:rPr>
          <w:spacing w:val="-4"/>
          <w:lang w:val="es-ES"/>
        </w:rPr>
      </w:pPr>
      <w:r w:rsidRPr="00FA1855">
        <w:rPr>
          <w:spacing w:val="-4"/>
          <w:lang w:val="es-ES"/>
        </w:rPr>
        <w:lastRenderedPageBreak/>
        <w:t xml:space="preserve">De no proporcionarse la documentación solicitada, se rechazará la solicitud o se demorará su procesamiento. </w:t>
      </w:r>
    </w:p>
    <w:p w:rsidR="00357375" w:rsidRPr="00FA1855" w:rsidRDefault="000A79F8">
      <w:pPr>
        <w:numPr>
          <w:ilvl w:val="0"/>
          <w:numId w:val="2"/>
        </w:numPr>
        <w:ind w:right="387" w:hanging="360"/>
        <w:rPr>
          <w:lang w:val="es-ES"/>
        </w:rPr>
      </w:pPr>
      <w:r w:rsidRPr="00FA1855">
        <w:rPr>
          <w:lang w:val="es-ES"/>
        </w:rPr>
        <w:t xml:space="preserve">Una vez que se haya ajustado la asistencia económica en la cuenta, de quedar un saldo, este estará sujeto a los términos de pago habituales estipulados en la póliza de cobros de </w:t>
      </w:r>
      <w:proofErr w:type="spellStart"/>
      <w:r w:rsidRPr="00FA1855">
        <w:rPr>
          <w:lang w:val="es-ES"/>
        </w:rPr>
        <w:t>Children</w:t>
      </w:r>
      <w:r w:rsidRPr="00FA1855">
        <w:rPr>
          <w:rFonts w:ascii="Calibri" w:hAnsi="Calibri"/>
          <w:lang w:val="es-ES"/>
        </w:rPr>
        <w:t>'</w:t>
      </w:r>
      <w:r w:rsidRPr="00FA1855">
        <w:rPr>
          <w:lang w:val="es-ES"/>
        </w:rPr>
        <w:t>s</w:t>
      </w:r>
      <w:proofErr w:type="spellEnd"/>
      <w:r w:rsidRPr="00FA1855">
        <w:rPr>
          <w:lang w:val="es-ES"/>
        </w:rPr>
        <w:t xml:space="preserve"> </w:t>
      </w:r>
    </w:p>
    <w:p w:rsidR="00357375" w:rsidRPr="00FA1855" w:rsidRDefault="000A79F8">
      <w:pPr>
        <w:numPr>
          <w:ilvl w:val="0"/>
          <w:numId w:val="2"/>
        </w:numPr>
        <w:ind w:right="387" w:hanging="360"/>
        <w:rPr>
          <w:lang w:val="es-ES"/>
        </w:rPr>
      </w:pPr>
      <w:r w:rsidRPr="00FA1855">
        <w:rPr>
          <w:lang w:val="es-ES"/>
        </w:rPr>
        <w:t xml:space="preserve">A las familias que cumplan con los requisitos para recibir asistencia económica no se les cobrará más que los Montos Generalmente Facturados. Todos los descuentos por asistencia económica serán ajustes hechos a partir de cobros brutos. </w:t>
      </w:r>
    </w:p>
    <w:p w:rsidR="00357375" w:rsidRPr="00FA1855" w:rsidRDefault="000A79F8">
      <w:pPr>
        <w:numPr>
          <w:ilvl w:val="0"/>
          <w:numId w:val="2"/>
        </w:numPr>
        <w:ind w:right="387" w:hanging="360"/>
        <w:rPr>
          <w:lang w:val="es-ES"/>
        </w:rPr>
      </w:pPr>
      <w:r w:rsidRPr="00FA1855">
        <w:rPr>
          <w:lang w:val="es-ES"/>
        </w:rPr>
        <w:t xml:space="preserve">Los niveles de autorización para su aprobación son los siguientes: </w:t>
      </w:r>
    </w:p>
    <w:p w:rsidR="00357375" w:rsidRPr="00FA1855" w:rsidRDefault="000A79F8">
      <w:pPr>
        <w:numPr>
          <w:ilvl w:val="1"/>
          <w:numId w:val="2"/>
        </w:numPr>
        <w:ind w:right="387" w:hanging="360"/>
        <w:rPr>
          <w:lang w:val="es-ES"/>
        </w:rPr>
      </w:pPr>
      <w:r w:rsidRPr="00FA1855">
        <w:rPr>
          <w:lang w:val="es-ES"/>
        </w:rPr>
        <w:t xml:space="preserve">Cuentas de supervisores de servicios financieros para pacientes inferiores $3,000. </w:t>
      </w:r>
    </w:p>
    <w:p w:rsidR="00357375" w:rsidRPr="00FA1855" w:rsidRDefault="000A79F8">
      <w:pPr>
        <w:numPr>
          <w:ilvl w:val="1"/>
          <w:numId w:val="2"/>
        </w:numPr>
        <w:ind w:right="387" w:hanging="360"/>
        <w:rPr>
          <w:lang w:val="es-ES"/>
        </w:rPr>
      </w:pPr>
      <w:r w:rsidRPr="00FA1855">
        <w:rPr>
          <w:lang w:val="es-ES"/>
        </w:rPr>
        <w:t xml:space="preserve">Cuentas de encargados de servicios financieros para pacientes de $3,001 a $25,000. </w:t>
      </w:r>
    </w:p>
    <w:p w:rsidR="00357375" w:rsidRPr="00FA1855" w:rsidRDefault="000A79F8">
      <w:pPr>
        <w:numPr>
          <w:ilvl w:val="1"/>
          <w:numId w:val="2"/>
        </w:numPr>
        <w:ind w:right="387" w:hanging="360"/>
        <w:rPr>
          <w:lang w:val="es-ES"/>
        </w:rPr>
      </w:pPr>
      <w:r w:rsidRPr="00FA1855">
        <w:rPr>
          <w:lang w:val="es-ES"/>
        </w:rPr>
        <w:t xml:space="preserve">Cuentas de VP/CRO de $25,001 a $100,000. </w:t>
      </w:r>
    </w:p>
    <w:p w:rsidR="00357375" w:rsidRPr="00FA1855" w:rsidRDefault="000A79F8">
      <w:pPr>
        <w:numPr>
          <w:ilvl w:val="1"/>
          <w:numId w:val="2"/>
        </w:numPr>
        <w:ind w:right="387" w:hanging="360"/>
        <w:rPr>
          <w:lang w:val="es-ES"/>
        </w:rPr>
      </w:pPr>
      <w:r w:rsidRPr="00FA1855">
        <w:rPr>
          <w:lang w:val="es-ES"/>
        </w:rPr>
        <w:t xml:space="preserve">Cuentas de SVP/CFO de USD 100,001 en adelante. </w:t>
      </w:r>
    </w:p>
    <w:p w:rsidR="00357375" w:rsidRPr="00FA1855" w:rsidRDefault="000A79F8">
      <w:pPr>
        <w:spacing w:after="17" w:line="259" w:lineRule="auto"/>
        <w:ind w:left="0" w:firstLine="0"/>
        <w:rPr>
          <w:lang w:val="es-ES"/>
        </w:rPr>
      </w:pPr>
      <w:r w:rsidRPr="00FA1855">
        <w:rPr>
          <w:sz w:val="19"/>
          <w:lang w:val="es-ES"/>
        </w:rPr>
        <w:t xml:space="preserve"> </w:t>
      </w:r>
    </w:p>
    <w:p w:rsidR="00357375" w:rsidRPr="00FA1855" w:rsidRDefault="000A79F8">
      <w:pPr>
        <w:ind w:left="118" w:right="387"/>
        <w:rPr>
          <w:lang w:val="es-ES"/>
        </w:rPr>
      </w:pPr>
      <w:r w:rsidRPr="00FA1855">
        <w:rPr>
          <w:b/>
          <w:lang w:val="es-ES"/>
        </w:rPr>
        <w:t xml:space="preserve">Presunción de cumplimiento de requisitos: </w:t>
      </w:r>
      <w:proofErr w:type="spellStart"/>
      <w:r w:rsidRPr="00FA1855">
        <w:rPr>
          <w:lang w:val="es-ES"/>
        </w:rPr>
        <w:t>Children’s</w:t>
      </w:r>
      <w:proofErr w:type="spellEnd"/>
      <w:r w:rsidRPr="00FA1855">
        <w:rPr>
          <w:lang w:val="es-ES"/>
        </w:rPr>
        <w:t xml:space="preserve"> tiene en cuenta que es posible que algunos pacientes no acudan al proceso de solicitud del programa de asistencia debido a un cúmulo de razones, como las siguientes:</w:t>
      </w:r>
      <w:r w:rsidRPr="00FA1855">
        <w:rPr>
          <w:b/>
          <w:lang w:val="es-ES"/>
        </w:rPr>
        <w:t xml:space="preserve"> </w:t>
      </w:r>
    </w:p>
    <w:p w:rsidR="00357375" w:rsidRPr="00FA1855" w:rsidRDefault="000A79F8">
      <w:pPr>
        <w:numPr>
          <w:ilvl w:val="0"/>
          <w:numId w:val="3"/>
        </w:numPr>
        <w:ind w:right="387" w:hanging="360"/>
        <w:rPr>
          <w:lang w:val="es-ES"/>
        </w:rPr>
      </w:pPr>
      <w:r w:rsidRPr="00FA1855">
        <w:rPr>
          <w:lang w:val="es-ES"/>
        </w:rPr>
        <w:t xml:space="preserve">Falta de documentación necesaria para cumplir con los requisitos de solicitud habituales de los programas de asistencia. </w:t>
      </w:r>
    </w:p>
    <w:p w:rsidR="00357375" w:rsidRPr="00FA1855" w:rsidRDefault="000A79F8">
      <w:pPr>
        <w:numPr>
          <w:ilvl w:val="0"/>
          <w:numId w:val="3"/>
        </w:numPr>
        <w:ind w:right="387" w:hanging="360"/>
        <w:rPr>
          <w:lang w:val="es-ES"/>
        </w:rPr>
      </w:pPr>
      <w:r w:rsidRPr="00FA1855">
        <w:rPr>
          <w:lang w:val="es-ES"/>
        </w:rPr>
        <w:t xml:space="preserve">Nivel educativo insuficiente como para comprender y completar la solicitud del programa de asistencia. </w:t>
      </w:r>
    </w:p>
    <w:p w:rsidR="00357375" w:rsidRPr="00FA1855" w:rsidRDefault="000A79F8">
      <w:pPr>
        <w:numPr>
          <w:ilvl w:val="0"/>
          <w:numId w:val="3"/>
        </w:numPr>
        <w:ind w:right="387" w:hanging="360"/>
        <w:rPr>
          <w:lang w:val="es-ES"/>
        </w:rPr>
      </w:pPr>
      <w:r w:rsidRPr="00FA1855">
        <w:rPr>
          <w:lang w:val="es-ES"/>
        </w:rPr>
        <w:t xml:space="preserve">Miedo de que la información recopilada durante el proceso de solicitud sea empleada para el proceso de cobro en caso de que se rechace la solicitud. </w:t>
      </w:r>
    </w:p>
    <w:p w:rsidR="00357375" w:rsidRPr="00FA1855" w:rsidRDefault="000A79F8">
      <w:pPr>
        <w:numPr>
          <w:ilvl w:val="0"/>
          <w:numId w:val="3"/>
        </w:numPr>
        <w:ind w:right="387" w:hanging="360"/>
        <w:rPr>
          <w:lang w:val="es-ES"/>
        </w:rPr>
      </w:pPr>
      <w:r w:rsidRPr="00FA1855">
        <w:rPr>
          <w:lang w:val="es-ES"/>
        </w:rPr>
        <w:t xml:space="preserve">Pacientes no pertenecientes al estado que no hayan completado una solicitud de Medicaid o una solicitud de asistencia económica. </w:t>
      </w:r>
    </w:p>
    <w:p w:rsidR="00357375" w:rsidRPr="00FA1855" w:rsidRDefault="000A79F8">
      <w:pPr>
        <w:spacing w:after="0" w:line="259" w:lineRule="auto"/>
        <w:ind w:left="0" w:firstLine="0"/>
        <w:rPr>
          <w:spacing w:val="-2"/>
          <w:lang w:val="es-ES"/>
        </w:rPr>
      </w:pPr>
      <w:r w:rsidRPr="00FA1855">
        <w:rPr>
          <w:spacing w:val="-2"/>
          <w:sz w:val="19"/>
          <w:lang w:val="es-ES"/>
        </w:rPr>
        <w:t xml:space="preserve"> </w:t>
      </w:r>
    </w:p>
    <w:p w:rsidR="00357375" w:rsidRPr="00FA1855" w:rsidRDefault="000A79F8">
      <w:pPr>
        <w:ind w:left="118" w:right="387"/>
        <w:rPr>
          <w:spacing w:val="-4"/>
          <w:lang w:val="es-ES"/>
        </w:rPr>
      </w:pPr>
      <w:r w:rsidRPr="00FA1855">
        <w:rPr>
          <w:spacing w:val="-2"/>
          <w:lang w:val="es-ES"/>
        </w:rPr>
        <w:t>En caso de que el paciente no haya provisto información o que la información proporcionada esté incompleta, se implementará un proceso de evaluación basado en un modelo predictivo a fin de determinar si la persona cumple con los requisitos para participar del programa de asistencia. El modelo predictivo toma en cuenta estimativos sobre ingresos y tamaño de la familia, un factor sobre necesidades socioeconómicas (Programa de Asistencia para el</w:t>
      </w:r>
      <w:r w:rsidRPr="00FA1855">
        <w:rPr>
          <w:spacing w:val="-4"/>
          <w:lang w:val="es-ES"/>
        </w:rPr>
        <w:t xml:space="preserve"> Refuerzo Nutricional, WIC y Programas HUD), datos de bloques censales e información sobre propietarios de viviendas. </w:t>
      </w:r>
    </w:p>
    <w:p w:rsidR="000A79F8" w:rsidRPr="00FA1855" w:rsidRDefault="000A79F8">
      <w:pPr>
        <w:ind w:left="118" w:right="387"/>
        <w:rPr>
          <w:lang w:val="es-ES"/>
        </w:rPr>
      </w:pPr>
    </w:p>
    <w:p w:rsidR="00357375" w:rsidRPr="00FA1855" w:rsidRDefault="000A79F8">
      <w:pPr>
        <w:spacing w:after="60"/>
        <w:ind w:left="118" w:right="387"/>
        <w:rPr>
          <w:lang w:val="es-ES"/>
        </w:rPr>
      </w:pPr>
      <w:r w:rsidRPr="00FA1855">
        <w:rPr>
          <w:lang w:val="es-ES"/>
        </w:rPr>
        <w:t xml:space="preserve">El proceso de asignación de puntaje predictivo y presunta necesidad de asistencia económica se llevará a cabo antes de ceder la deuda primaria incobrable de todos los pacientes o garantes que no hayan solicitado entrar en un programa de asistencia ni hayan hecho un pago en sus cuentas. A fin de poder presentar una apelación o recurso similar, </w:t>
      </w:r>
      <w:proofErr w:type="spellStart"/>
      <w:r w:rsidRPr="00FA1855">
        <w:rPr>
          <w:lang w:val="es-ES"/>
        </w:rPr>
        <w:t>Children’s</w:t>
      </w:r>
      <w:proofErr w:type="spellEnd"/>
      <w:r w:rsidRPr="00FA1855">
        <w:rPr>
          <w:lang w:val="es-ES"/>
        </w:rPr>
        <w:t xml:space="preserve"> notificará al garante si la(s) cuenta(s) del paciente ha sufrido una reducción —por lo general, menor al 100 % — debido a un ajuste por presunta participación en un programa de asistencia. </w:t>
      </w:r>
      <w:proofErr w:type="spellStart"/>
      <w:r w:rsidRPr="00FA1855">
        <w:rPr>
          <w:lang w:val="es-ES"/>
        </w:rPr>
        <w:t>Children’s</w:t>
      </w:r>
      <w:proofErr w:type="spellEnd"/>
      <w:r w:rsidRPr="00FA1855">
        <w:rPr>
          <w:lang w:val="es-ES"/>
        </w:rPr>
        <w:t xml:space="preserve"> no tiene la obligación de notificar al padre o garante si el ajuste por presunta participación en un programa de asistencia equivale al 100 % del saldo de la cuenta. </w:t>
      </w:r>
    </w:p>
    <w:p w:rsidR="00357375" w:rsidRPr="00FA1855" w:rsidRDefault="00357375">
      <w:pPr>
        <w:spacing w:after="70" w:line="259" w:lineRule="auto"/>
        <w:ind w:left="108" w:firstLine="0"/>
        <w:rPr>
          <w:lang w:val="es-ES"/>
        </w:rPr>
      </w:pPr>
    </w:p>
    <w:p w:rsidR="00357375" w:rsidRPr="00FA1855" w:rsidRDefault="000A79F8">
      <w:pPr>
        <w:spacing w:after="60"/>
        <w:ind w:left="118" w:right="387"/>
        <w:rPr>
          <w:lang w:val="es-ES"/>
        </w:rPr>
      </w:pPr>
      <w:r w:rsidRPr="00FA1855">
        <w:rPr>
          <w:b/>
          <w:lang w:val="es-ES"/>
        </w:rPr>
        <w:t xml:space="preserve">Programas comunitarios de salud: </w:t>
      </w:r>
      <w:r w:rsidRPr="00FA1855">
        <w:rPr>
          <w:lang w:val="es-ES"/>
        </w:rPr>
        <w:t xml:space="preserve">con el objeto de satisfacer las necesidades de los niños de nuestra comunidad, </w:t>
      </w:r>
      <w:proofErr w:type="spellStart"/>
      <w:r w:rsidRPr="00FA1855">
        <w:rPr>
          <w:lang w:val="es-ES"/>
        </w:rPr>
        <w:t>Children’s</w:t>
      </w:r>
      <w:proofErr w:type="spellEnd"/>
      <w:r w:rsidRPr="00FA1855">
        <w:rPr>
          <w:lang w:val="es-ES"/>
        </w:rPr>
        <w:t xml:space="preserve"> implementará programas comunitarios de salud para abordar las problemáticas identificadas. La revisión de la asistencia económica y la aprobación de los procedimientos solicitados por los pacientes inscritos en todos los programas comunitarios de salud enumerados más abajo se realizarán mediante </w:t>
      </w:r>
      <w:r w:rsidR="00D351D7">
        <w:rPr>
          <w:lang w:val="es-ES"/>
        </w:rPr>
        <w:br/>
      </w:r>
      <w:r w:rsidRPr="00FA1855">
        <w:rPr>
          <w:lang w:val="es-ES"/>
        </w:rPr>
        <w:t>el procedimiento de asistencia económica para la salud comunitaria descrito a continuación:</w:t>
      </w:r>
      <w:r w:rsidR="00B9660D" w:rsidRPr="00FA1855">
        <w:rPr>
          <w:b/>
          <w:lang w:val="es-ES"/>
        </w:rPr>
        <w:t xml:space="preserve"> </w:t>
      </w:r>
    </w:p>
    <w:p w:rsidR="00357375" w:rsidRPr="00FA1855" w:rsidRDefault="000A79F8">
      <w:pPr>
        <w:spacing w:after="56" w:line="259" w:lineRule="auto"/>
        <w:ind w:left="108" w:firstLine="0"/>
        <w:rPr>
          <w:lang w:val="es-ES"/>
        </w:rPr>
      </w:pPr>
      <w:r w:rsidRPr="00FA1855">
        <w:rPr>
          <w:lang w:val="es-ES"/>
        </w:rPr>
        <w:t xml:space="preserve"> </w:t>
      </w:r>
    </w:p>
    <w:p w:rsidR="000A79F8" w:rsidRPr="00FA1855" w:rsidRDefault="000A79F8" w:rsidP="00B9660D">
      <w:pPr>
        <w:spacing w:after="60"/>
        <w:ind w:left="118" w:right="387"/>
        <w:rPr>
          <w:lang w:val="es-ES"/>
        </w:rPr>
      </w:pPr>
      <w:proofErr w:type="spellStart"/>
      <w:r w:rsidRPr="00FA1855">
        <w:rPr>
          <w:lang w:val="es-ES"/>
        </w:rPr>
        <w:t>Children’s</w:t>
      </w:r>
      <w:proofErr w:type="spellEnd"/>
      <w:r w:rsidRPr="00FA1855">
        <w:rPr>
          <w:lang w:val="es-ES"/>
        </w:rPr>
        <w:t xml:space="preserve">: programa comunitario de salud aprobado para brindar asistencia económica mediante un procedimiento de excepción. </w:t>
      </w:r>
    </w:p>
    <w:p w:rsidR="00357375" w:rsidRPr="00FA1855" w:rsidRDefault="000A79F8" w:rsidP="00786D5E">
      <w:pPr>
        <w:numPr>
          <w:ilvl w:val="0"/>
          <w:numId w:val="4"/>
        </w:numPr>
        <w:spacing w:after="61"/>
        <w:ind w:right="387" w:hanging="360"/>
        <w:rPr>
          <w:lang w:val="es-ES"/>
        </w:rPr>
      </w:pPr>
      <w:proofErr w:type="spellStart"/>
      <w:r w:rsidRPr="00FA1855">
        <w:rPr>
          <w:lang w:val="es-ES"/>
        </w:rPr>
        <w:t>Visionmobile</w:t>
      </w:r>
      <w:proofErr w:type="spellEnd"/>
      <w:r w:rsidRPr="00FA1855">
        <w:rPr>
          <w:lang w:val="es-ES"/>
        </w:rPr>
        <w:t xml:space="preserve"> </w:t>
      </w:r>
    </w:p>
    <w:p w:rsidR="00357375" w:rsidRPr="00FA1855" w:rsidRDefault="000A79F8">
      <w:pPr>
        <w:spacing w:after="50" w:line="259" w:lineRule="auto"/>
        <w:ind w:left="0" w:firstLine="0"/>
        <w:rPr>
          <w:lang w:val="es-ES"/>
        </w:rPr>
      </w:pPr>
      <w:r w:rsidRPr="00FA1855">
        <w:rPr>
          <w:lang w:val="es-ES"/>
        </w:rPr>
        <w:t xml:space="preserve"> </w:t>
      </w:r>
    </w:p>
    <w:p w:rsidR="00357375" w:rsidRPr="00FA1855" w:rsidRDefault="000A79F8" w:rsidP="00D65469">
      <w:pPr>
        <w:spacing w:after="60"/>
        <w:ind w:left="118" w:right="387"/>
        <w:rPr>
          <w:lang w:val="es-ES"/>
        </w:rPr>
      </w:pPr>
      <w:r w:rsidRPr="00FA1855">
        <w:rPr>
          <w:lang w:val="es-ES"/>
        </w:rPr>
        <w:t xml:space="preserve">Procedimiento de asistencia económica: </w:t>
      </w:r>
    </w:p>
    <w:p w:rsidR="00357375" w:rsidRPr="00FA1855" w:rsidRDefault="000A79F8" w:rsidP="00786D5E">
      <w:pPr>
        <w:numPr>
          <w:ilvl w:val="0"/>
          <w:numId w:val="5"/>
        </w:numPr>
        <w:spacing w:after="61"/>
        <w:ind w:right="387" w:hanging="360"/>
        <w:rPr>
          <w:lang w:val="es-ES"/>
        </w:rPr>
      </w:pPr>
      <w:r w:rsidRPr="00FA1855">
        <w:rPr>
          <w:lang w:val="es-ES"/>
        </w:rPr>
        <w:t>No es necesario que el paciente o garante soliciten Medicaid.</w:t>
      </w:r>
      <w:r w:rsidR="00B9660D" w:rsidRPr="00FA1855">
        <w:rPr>
          <w:lang w:val="es-ES"/>
        </w:rPr>
        <w:t xml:space="preserve"> </w:t>
      </w:r>
      <w:r w:rsidRPr="00FA1855">
        <w:rPr>
          <w:lang w:val="es-ES"/>
        </w:rPr>
        <w:t xml:space="preserve">Se omite el requisito de presentación de solicitud y prueba de rechazo de Medicaid para todos los servicios provistos por un programa comunitario de salud. </w:t>
      </w:r>
    </w:p>
    <w:p w:rsidR="00357375" w:rsidRPr="00FA1855" w:rsidRDefault="000A79F8" w:rsidP="00786D5E">
      <w:pPr>
        <w:numPr>
          <w:ilvl w:val="0"/>
          <w:numId w:val="5"/>
        </w:numPr>
        <w:spacing w:after="59"/>
        <w:ind w:right="387" w:hanging="360"/>
        <w:rPr>
          <w:lang w:val="es-ES"/>
        </w:rPr>
      </w:pPr>
      <w:r w:rsidRPr="00FA1855">
        <w:rPr>
          <w:lang w:val="es-ES"/>
        </w:rPr>
        <w:t xml:space="preserve">Se omite el requisito de solicitud de asistencia económica. </w:t>
      </w:r>
    </w:p>
    <w:p w:rsidR="00357375" w:rsidRPr="00FA1855" w:rsidRDefault="000A79F8" w:rsidP="00786D5E">
      <w:pPr>
        <w:numPr>
          <w:ilvl w:val="0"/>
          <w:numId w:val="5"/>
        </w:numPr>
        <w:spacing w:after="61"/>
        <w:ind w:right="387" w:hanging="360"/>
        <w:rPr>
          <w:lang w:val="es-ES"/>
        </w:rPr>
      </w:pPr>
      <w:r w:rsidRPr="00FA1855">
        <w:rPr>
          <w:lang w:val="es-ES"/>
        </w:rPr>
        <w:t>Se verificará el presunto cumplimiento de los requisitos para recibir asistencia económica antes del ajuste por asistencia económica.</w:t>
      </w:r>
      <w:r w:rsidR="00B9660D" w:rsidRPr="00FA1855">
        <w:rPr>
          <w:lang w:val="es-ES"/>
        </w:rPr>
        <w:t xml:space="preserve"> </w:t>
      </w:r>
      <w:r w:rsidRPr="00FA1855">
        <w:rPr>
          <w:lang w:val="es-ES"/>
        </w:rPr>
        <w:t xml:space="preserve">El ajuste por asistencia económica se aplicará según el puntaje por presunto cumplimiento de los requisitos. </w:t>
      </w:r>
    </w:p>
    <w:p w:rsidR="00357375" w:rsidRPr="00FA1855" w:rsidRDefault="00B9660D">
      <w:pPr>
        <w:spacing w:after="0" w:line="312" w:lineRule="auto"/>
        <w:ind w:left="0" w:right="9798" w:firstLine="0"/>
        <w:rPr>
          <w:lang w:val="es-ES"/>
        </w:rPr>
      </w:pPr>
      <w:r w:rsidRPr="00FA1855">
        <w:rPr>
          <w:lang w:val="es-ES"/>
        </w:rPr>
        <w:t xml:space="preserve"> </w:t>
      </w:r>
    </w:p>
    <w:sectPr w:rsidR="00357375" w:rsidRPr="00FA1855" w:rsidSect="000A79F8">
      <w:footerReference w:type="even" r:id="rId12"/>
      <w:footerReference w:type="default" r:id="rId13"/>
      <w:footerReference w:type="first" r:id="rId14"/>
      <w:pgSz w:w="12240" w:h="15840"/>
      <w:pgMar w:top="560" w:right="783" w:bottom="900" w:left="720" w:header="720" w:footer="4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5161" w:rsidRDefault="007A5161">
      <w:pPr>
        <w:spacing w:after="0" w:line="240" w:lineRule="auto"/>
      </w:pPr>
      <w:r>
        <w:separator/>
      </w:r>
    </w:p>
  </w:endnote>
  <w:endnote w:type="continuationSeparator" w:id="0">
    <w:p w:rsidR="007A5161" w:rsidRDefault="007A5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7375" w:rsidRDefault="000A79F8">
    <w:pPr>
      <w:spacing w:after="0" w:line="259" w:lineRule="auto"/>
      <w:ind w:left="0" w:firstLine="0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528955</wp:posOffset>
          </wp:positionH>
          <wp:positionV relativeFrom="page">
            <wp:posOffset>9552942</wp:posOffset>
          </wp:positionV>
          <wp:extent cx="6715125" cy="38098"/>
          <wp:effectExtent l="0" t="0" r="0" b="0"/>
          <wp:wrapSquare wrapText="bothSides"/>
          <wp:docPr id="13" name="Picture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15125" cy="380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6"/>
      </w:rPr>
      <w:t xml:space="preserve"> Página -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6"/>
      </w:rPr>
      <w:t>1</w:t>
    </w:r>
    <w:r>
      <w:rPr>
        <w:sz w:val="16"/>
      </w:rPr>
      <w:fldChar w:fldCharType="end"/>
    </w:r>
    <w:r>
      <w:rPr>
        <w:sz w:val="16"/>
      </w:rPr>
      <w:t xml:space="preserve"> - de </w:t>
    </w:r>
    <w:r w:rsidR="008C119B">
      <w:rPr>
        <w:sz w:val="16"/>
      </w:rPr>
      <w:fldChar w:fldCharType="begin"/>
    </w:r>
    <w:r w:rsidR="008C119B">
      <w:rPr>
        <w:sz w:val="16"/>
      </w:rPr>
      <w:instrText xml:space="preserve"> NUMPAGES   \* MERGEFORMAT </w:instrText>
    </w:r>
    <w:r w:rsidR="008C119B">
      <w:rPr>
        <w:sz w:val="16"/>
      </w:rPr>
      <w:fldChar w:fldCharType="separate"/>
    </w:r>
    <w:r>
      <w:rPr>
        <w:sz w:val="16"/>
      </w:rPr>
      <w:t>3</w:t>
    </w:r>
    <w:r w:rsidR="008C119B">
      <w:rPr>
        <w:sz w:val="16"/>
      </w:rPr>
      <w:fldChar w:fldCharType="end"/>
    </w:r>
    <w:r>
      <w:rPr>
        <w:sz w:val="16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7375" w:rsidRDefault="000A79F8" w:rsidP="00B9660D">
    <w:pPr>
      <w:spacing w:after="0" w:line="259" w:lineRule="auto"/>
      <w:ind w:left="117" w:firstLine="0"/>
    </w:pPr>
    <w:r>
      <w:rPr>
        <w:noProof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528955</wp:posOffset>
          </wp:positionH>
          <wp:positionV relativeFrom="page">
            <wp:posOffset>9552942</wp:posOffset>
          </wp:positionV>
          <wp:extent cx="6715125" cy="38098"/>
          <wp:effectExtent l="0" t="0" r="0" b="0"/>
          <wp:wrapSquare wrapText="bothSides"/>
          <wp:docPr id="14" name="Picture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15125" cy="380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6"/>
      </w:rPr>
      <w:t xml:space="preserve">Página - </w:t>
    </w:r>
    <w:r>
      <w:fldChar w:fldCharType="begin"/>
    </w:r>
    <w:r>
      <w:instrText xml:space="preserve"> PAGE   \* MERGEFORMAT </w:instrText>
    </w:r>
    <w:r>
      <w:fldChar w:fldCharType="separate"/>
    </w:r>
    <w:r w:rsidR="00A64211" w:rsidRPr="00A64211">
      <w:rPr>
        <w:noProof/>
        <w:sz w:val="16"/>
      </w:rPr>
      <w:t>3</w:t>
    </w:r>
    <w:r>
      <w:rPr>
        <w:sz w:val="16"/>
      </w:rPr>
      <w:fldChar w:fldCharType="end"/>
    </w:r>
    <w:r>
      <w:rPr>
        <w:sz w:val="16"/>
      </w:rPr>
      <w:t xml:space="preserve"> - de </w:t>
    </w:r>
    <w:r w:rsidR="008C119B">
      <w:rPr>
        <w:sz w:val="16"/>
      </w:rPr>
      <w:fldChar w:fldCharType="begin"/>
    </w:r>
    <w:r w:rsidR="008C119B">
      <w:rPr>
        <w:sz w:val="16"/>
      </w:rPr>
      <w:instrText xml:space="preserve"> NUMPAGES   \* MERGEFORMAT </w:instrText>
    </w:r>
    <w:r w:rsidR="008C119B">
      <w:rPr>
        <w:sz w:val="16"/>
      </w:rPr>
      <w:fldChar w:fldCharType="separate"/>
    </w:r>
    <w:r w:rsidR="00A64211">
      <w:rPr>
        <w:noProof/>
        <w:sz w:val="16"/>
      </w:rPr>
      <w:t>3</w:t>
    </w:r>
    <w:r w:rsidR="008C119B">
      <w:rPr>
        <w:sz w:val="16"/>
      </w:rPr>
      <w:fldChar w:fldCharType="end"/>
    </w:r>
    <w:r>
      <w:rPr>
        <w:sz w:val="16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7375" w:rsidRDefault="000A79F8">
    <w:pPr>
      <w:spacing w:after="0" w:line="259" w:lineRule="auto"/>
      <w:ind w:left="0" w:firstLine="0"/>
    </w:pP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528955</wp:posOffset>
          </wp:positionH>
          <wp:positionV relativeFrom="page">
            <wp:posOffset>9552942</wp:posOffset>
          </wp:positionV>
          <wp:extent cx="6715125" cy="38098"/>
          <wp:effectExtent l="0" t="0" r="0" b="0"/>
          <wp:wrapSquare wrapText="bothSides"/>
          <wp:docPr id="15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15125" cy="380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6"/>
      </w:rPr>
      <w:t xml:space="preserve"> Página -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6"/>
      </w:rPr>
      <w:t>1</w:t>
    </w:r>
    <w:r>
      <w:rPr>
        <w:sz w:val="16"/>
      </w:rPr>
      <w:fldChar w:fldCharType="end"/>
    </w:r>
    <w:r>
      <w:rPr>
        <w:sz w:val="16"/>
      </w:rPr>
      <w:t xml:space="preserve"> - de </w:t>
    </w:r>
    <w:r w:rsidR="008C119B">
      <w:rPr>
        <w:sz w:val="16"/>
      </w:rPr>
      <w:fldChar w:fldCharType="begin"/>
    </w:r>
    <w:r w:rsidR="008C119B">
      <w:rPr>
        <w:sz w:val="16"/>
      </w:rPr>
      <w:instrText xml:space="preserve"> NUMPAGES   \* MERGEFORMAT </w:instrText>
    </w:r>
    <w:r w:rsidR="008C119B">
      <w:rPr>
        <w:sz w:val="16"/>
      </w:rPr>
      <w:fldChar w:fldCharType="separate"/>
    </w:r>
    <w:r>
      <w:rPr>
        <w:sz w:val="16"/>
      </w:rPr>
      <w:t>3</w:t>
    </w:r>
    <w:r w:rsidR="008C119B">
      <w:rPr>
        <w:sz w:val="16"/>
      </w:rPr>
      <w:fldChar w:fldCharType="end"/>
    </w:r>
    <w:r>
      <w:rPr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5161" w:rsidRDefault="007A5161">
      <w:pPr>
        <w:spacing w:after="0" w:line="240" w:lineRule="auto"/>
      </w:pPr>
      <w:r>
        <w:separator/>
      </w:r>
    </w:p>
  </w:footnote>
  <w:footnote w:type="continuationSeparator" w:id="0">
    <w:p w:rsidR="007A5161" w:rsidRDefault="007A51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4A1CF5"/>
    <w:multiLevelType w:val="hybridMultilevel"/>
    <w:tmpl w:val="175C6A00"/>
    <w:lvl w:ilvl="0" w:tplc="210C2A10">
      <w:start w:val="1"/>
      <w:numFmt w:val="decimal"/>
      <w:lvlText w:val="%1."/>
      <w:lvlJc w:val="left"/>
      <w:pPr>
        <w:ind w:left="8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31459BE">
      <w:start w:val="1"/>
      <w:numFmt w:val="lowerLetter"/>
      <w:lvlText w:val="%2"/>
      <w:lvlJc w:val="left"/>
      <w:pPr>
        <w:ind w:left="15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43E94AE">
      <w:start w:val="1"/>
      <w:numFmt w:val="lowerRoman"/>
      <w:lvlText w:val="%3"/>
      <w:lvlJc w:val="left"/>
      <w:pPr>
        <w:ind w:left="22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A6C7D4C">
      <w:start w:val="1"/>
      <w:numFmt w:val="decimal"/>
      <w:lvlText w:val="%4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72A73B0">
      <w:start w:val="1"/>
      <w:numFmt w:val="lowerLetter"/>
      <w:lvlText w:val="%5"/>
      <w:lvlJc w:val="left"/>
      <w:pPr>
        <w:ind w:left="3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E0E2ECC">
      <w:start w:val="1"/>
      <w:numFmt w:val="lowerRoman"/>
      <w:lvlText w:val="%6"/>
      <w:lvlJc w:val="left"/>
      <w:pPr>
        <w:ind w:left="4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C86F74C">
      <w:start w:val="1"/>
      <w:numFmt w:val="decimal"/>
      <w:lvlText w:val="%7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056427C">
      <w:start w:val="1"/>
      <w:numFmt w:val="lowerLetter"/>
      <w:lvlText w:val="%8"/>
      <w:lvlJc w:val="left"/>
      <w:pPr>
        <w:ind w:left="58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02A6422">
      <w:start w:val="1"/>
      <w:numFmt w:val="lowerRoman"/>
      <w:lvlText w:val="%9"/>
      <w:lvlJc w:val="left"/>
      <w:pPr>
        <w:ind w:left="6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D8F5EB4"/>
    <w:multiLevelType w:val="hybridMultilevel"/>
    <w:tmpl w:val="DD049C84"/>
    <w:lvl w:ilvl="0" w:tplc="214EF552">
      <w:start w:val="1"/>
      <w:numFmt w:val="decimal"/>
      <w:lvlText w:val="%1."/>
      <w:lvlJc w:val="left"/>
      <w:pPr>
        <w:ind w:left="8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032A79E">
      <w:start w:val="1"/>
      <w:numFmt w:val="lowerLetter"/>
      <w:lvlText w:val="%2"/>
      <w:lvlJc w:val="left"/>
      <w:pPr>
        <w:ind w:left="16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272052E">
      <w:start w:val="1"/>
      <w:numFmt w:val="lowerRoman"/>
      <w:lvlText w:val="%3"/>
      <w:lvlJc w:val="left"/>
      <w:pPr>
        <w:ind w:left="23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E92E670">
      <w:start w:val="1"/>
      <w:numFmt w:val="decimal"/>
      <w:lvlText w:val="%4"/>
      <w:lvlJc w:val="left"/>
      <w:pPr>
        <w:ind w:left="30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F52E062">
      <w:start w:val="1"/>
      <w:numFmt w:val="lowerLetter"/>
      <w:lvlText w:val="%5"/>
      <w:lvlJc w:val="left"/>
      <w:pPr>
        <w:ind w:left="37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330D9DC">
      <w:start w:val="1"/>
      <w:numFmt w:val="lowerRoman"/>
      <w:lvlText w:val="%6"/>
      <w:lvlJc w:val="left"/>
      <w:pPr>
        <w:ind w:left="44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AA00198">
      <w:start w:val="1"/>
      <w:numFmt w:val="decimal"/>
      <w:lvlText w:val="%7"/>
      <w:lvlJc w:val="left"/>
      <w:pPr>
        <w:ind w:left="52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60A9DD4">
      <w:start w:val="1"/>
      <w:numFmt w:val="lowerLetter"/>
      <w:lvlText w:val="%8"/>
      <w:lvlJc w:val="left"/>
      <w:pPr>
        <w:ind w:left="59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4CA50F6">
      <w:start w:val="1"/>
      <w:numFmt w:val="lowerRoman"/>
      <w:lvlText w:val="%9"/>
      <w:lvlJc w:val="left"/>
      <w:pPr>
        <w:ind w:left="66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8E14D52"/>
    <w:multiLevelType w:val="hybridMultilevel"/>
    <w:tmpl w:val="2B24741A"/>
    <w:lvl w:ilvl="0" w:tplc="7BBE8C7E">
      <w:start w:val="1"/>
      <w:numFmt w:val="decimal"/>
      <w:lvlText w:val="%1."/>
      <w:lvlJc w:val="left"/>
      <w:pPr>
        <w:ind w:left="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F649B1A">
      <w:start w:val="2"/>
      <w:numFmt w:val="lowerRoman"/>
      <w:lvlText w:val="%2."/>
      <w:lvlJc w:val="left"/>
      <w:pPr>
        <w:ind w:left="2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82AEFEC">
      <w:start w:val="1"/>
      <w:numFmt w:val="lowerRoman"/>
      <w:lvlText w:val="%3"/>
      <w:lvlJc w:val="left"/>
      <w:pPr>
        <w:ind w:left="3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7180692">
      <w:start w:val="1"/>
      <w:numFmt w:val="decimal"/>
      <w:lvlText w:val="%4"/>
      <w:lvlJc w:val="left"/>
      <w:pPr>
        <w:ind w:left="38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F963A74">
      <w:start w:val="1"/>
      <w:numFmt w:val="lowerLetter"/>
      <w:lvlText w:val="%5"/>
      <w:lvlJc w:val="left"/>
      <w:pPr>
        <w:ind w:left="4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0F629F6">
      <w:start w:val="1"/>
      <w:numFmt w:val="lowerRoman"/>
      <w:lvlText w:val="%6"/>
      <w:lvlJc w:val="left"/>
      <w:pPr>
        <w:ind w:left="53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CAE300E">
      <w:start w:val="1"/>
      <w:numFmt w:val="decimal"/>
      <w:lvlText w:val="%7"/>
      <w:lvlJc w:val="left"/>
      <w:pPr>
        <w:ind w:left="60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CC81172">
      <w:start w:val="1"/>
      <w:numFmt w:val="lowerLetter"/>
      <w:lvlText w:val="%8"/>
      <w:lvlJc w:val="left"/>
      <w:pPr>
        <w:ind w:left="6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8587B42">
      <w:start w:val="1"/>
      <w:numFmt w:val="lowerRoman"/>
      <w:lvlText w:val="%9"/>
      <w:lvlJc w:val="left"/>
      <w:pPr>
        <w:ind w:left="74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9C90296"/>
    <w:multiLevelType w:val="hybridMultilevel"/>
    <w:tmpl w:val="DD049C84"/>
    <w:lvl w:ilvl="0" w:tplc="214EF552">
      <w:start w:val="1"/>
      <w:numFmt w:val="decimal"/>
      <w:lvlText w:val="%1."/>
      <w:lvlJc w:val="left"/>
      <w:pPr>
        <w:ind w:left="8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032A79E">
      <w:start w:val="1"/>
      <w:numFmt w:val="lowerLetter"/>
      <w:lvlText w:val="%2"/>
      <w:lvlJc w:val="left"/>
      <w:pPr>
        <w:ind w:left="16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272052E">
      <w:start w:val="1"/>
      <w:numFmt w:val="lowerRoman"/>
      <w:lvlText w:val="%3"/>
      <w:lvlJc w:val="left"/>
      <w:pPr>
        <w:ind w:left="23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E92E670">
      <w:start w:val="1"/>
      <w:numFmt w:val="decimal"/>
      <w:lvlText w:val="%4"/>
      <w:lvlJc w:val="left"/>
      <w:pPr>
        <w:ind w:left="30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F52E062">
      <w:start w:val="1"/>
      <w:numFmt w:val="lowerLetter"/>
      <w:lvlText w:val="%5"/>
      <w:lvlJc w:val="left"/>
      <w:pPr>
        <w:ind w:left="37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330D9DC">
      <w:start w:val="1"/>
      <w:numFmt w:val="lowerRoman"/>
      <w:lvlText w:val="%6"/>
      <w:lvlJc w:val="left"/>
      <w:pPr>
        <w:ind w:left="44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AA00198">
      <w:start w:val="1"/>
      <w:numFmt w:val="decimal"/>
      <w:lvlText w:val="%7"/>
      <w:lvlJc w:val="left"/>
      <w:pPr>
        <w:ind w:left="52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60A9DD4">
      <w:start w:val="1"/>
      <w:numFmt w:val="lowerLetter"/>
      <w:lvlText w:val="%8"/>
      <w:lvlJc w:val="left"/>
      <w:pPr>
        <w:ind w:left="59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4CA50F6">
      <w:start w:val="1"/>
      <w:numFmt w:val="lowerRoman"/>
      <w:lvlText w:val="%9"/>
      <w:lvlJc w:val="left"/>
      <w:pPr>
        <w:ind w:left="66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EDE5748"/>
    <w:multiLevelType w:val="hybridMultilevel"/>
    <w:tmpl w:val="80CED1AA"/>
    <w:lvl w:ilvl="0" w:tplc="FBF48A56">
      <w:start w:val="1"/>
      <w:numFmt w:val="decimal"/>
      <w:lvlText w:val="%1."/>
      <w:lvlJc w:val="left"/>
      <w:pPr>
        <w:ind w:left="8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7CAC7D0">
      <w:start w:val="1"/>
      <w:numFmt w:val="lowerLetter"/>
      <w:lvlText w:val="%2."/>
      <w:lvlJc w:val="left"/>
      <w:pPr>
        <w:ind w:left="15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EB4EF74">
      <w:start w:val="1"/>
      <w:numFmt w:val="lowerRoman"/>
      <w:lvlText w:val="%3"/>
      <w:lvlJc w:val="left"/>
      <w:pPr>
        <w:ind w:left="22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39EE21E">
      <w:start w:val="1"/>
      <w:numFmt w:val="decimal"/>
      <w:lvlText w:val="%4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6280C8A">
      <w:start w:val="1"/>
      <w:numFmt w:val="lowerLetter"/>
      <w:lvlText w:val="%5"/>
      <w:lvlJc w:val="left"/>
      <w:pPr>
        <w:ind w:left="3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E6E19C0">
      <w:start w:val="1"/>
      <w:numFmt w:val="lowerRoman"/>
      <w:lvlText w:val="%6"/>
      <w:lvlJc w:val="left"/>
      <w:pPr>
        <w:ind w:left="4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D52B8DC">
      <w:start w:val="1"/>
      <w:numFmt w:val="decimal"/>
      <w:lvlText w:val="%7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D3400F4">
      <w:start w:val="1"/>
      <w:numFmt w:val="lowerLetter"/>
      <w:lvlText w:val="%8"/>
      <w:lvlJc w:val="left"/>
      <w:pPr>
        <w:ind w:left="58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632EEC2">
      <w:start w:val="1"/>
      <w:numFmt w:val="lowerRoman"/>
      <w:lvlText w:val="%9"/>
      <w:lvlJc w:val="left"/>
      <w:pPr>
        <w:ind w:left="6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375"/>
    <w:rsid w:val="000A79F8"/>
    <w:rsid w:val="00357375"/>
    <w:rsid w:val="00786D5E"/>
    <w:rsid w:val="007A5161"/>
    <w:rsid w:val="008C119B"/>
    <w:rsid w:val="009B541C"/>
    <w:rsid w:val="00A14311"/>
    <w:rsid w:val="00A64211"/>
    <w:rsid w:val="00B9660D"/>
    <w:rsid w:val="00D351D7"/>
    <w:rsid w:val="00D65469"/>
    <w:rsid w:val="00D67A3E"/>
    <w:rsid w:val="00D8220B"/>
    <w:rsid w:val="00DE5028"/>
    <w:rsid w:val="00E472C4"/>
    <w:rsid w:val="00FA1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1E59B1B-70C2-458A-8733-737EE1485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49" w:lineRule="auto"/>
      <w:ind w:left="197" w:hanging="10"/>
    </w:pPr>
    <w:rPr>
      <w:rFonts w:ascii="Arial" w:eastAsia="Arial" w:hAnsi="Arial" w:cs="Arial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966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60D"/>
    <w:rPr>
      <w:rFonts w:ascii="Arial" w:eastAsia="Arial" w:hAnsi="Arial" w:cs="Arial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ildrensomaha.org/main/financial-assistance.aspx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hildrensomaha.org/main/financial-assistance.aspx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childrensomaha.org/main/financial-assistance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hildrensomaha.org/main/financial-assistance.aspx" TargetMode="Externa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1751</Words>
  <Characters>9984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</vt:lpstr>
    </vt:vector>
  </TitlesOfParts>
  <Company/>
  <LinksUpToDate>false</LinksUpToDate>
  <CharactersWithSpaces>11712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subject/>
  <dc:creator>Greg Daake</dc:creator>
  <cp:keywords/>
  <cp:lastModifiedBy>Rania H. Karam</cp:lastModifiedBy>
  <cp:revision>2</cp:revision>
  <dcterms:created xsi:type="dcterms:W3CDTF">2018-12-13T16:20:00Z</dcterms:created>
  <dcterms:modified xsi:type="dcterms:W3CDTF">2018-12-13T16:20:00Z</dcterms:modified>
</cp:coreProperties>
</file>